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E8" w:rsidRPr="004910E8" w:rsidRDefault="004910E8" w:rsidP="004910E8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color w:val="0000FF"/>
          <w:sz w:val="27"/>
          <w:szCs w:val="27"/>
          <w:lang w:eastAsia="cs-CZ"/>
        </w:rPr>
      </w:pPr>
      <w:r w:rsidRPr="004910E8">
        <w:rPr>
          <w:rFonts w:ascii="Arial Black" w:eastAsia="Times New Roman" w:hAnsi="Arial Black" w:cs="Times New Roman"/>
          <w:b/>
          <w:color w:val="0000FF"/>
          <w:sz w:val="27"/>
          <w:szCs w:val="27"/>
          <w:lang w:eastAsia="cs-CZ"/>
        </w:rPr>
        <w:t xml:space="preserve">Souhrn ustanovení zákoníku práce, </w:t>
      </w:r>
    </w:p>
    <w:p w:rsidR="004910E8" w:rsidRPr="004910E8" w:rsidRDefault="004910E8" w:rsidP="004910E8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color w:val="0000FF"/>
          <w:sz w:val="27"/>
          <w:szCs w:val="27"/>
          <w:lang w:eastAsia="cs-CZ"/>
        </w:rPr>
      </w:pPr>
      <w:r w:rsidRPr="004910E8">
        <w:rPr>
          <w:rFonts w:ascii="Arial Black" w:eastAsia="Times New Roman" w:hAnsi="Arial Black" w:cs="Times New Roman"/>
          <w:b/>
          <w:color w:val="0000FF"/>
          <w:sz w:val="27"/>
          <w:szCs w:val="27"/>
          <w:lang w:eastAsia="cs-CZ"/>
        </w:rPr>
        <w:t xml:space="preserve">zákona o mzdě a zákona o platu, </w:t>
      </w:r>
    </w:p>
    <w:p w:rsidR="004910E8" w:rsidRPr="004910E8" w:rsidRDefault="004910E8" w:rsidP="00491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10E8">
        <w:rPr>
          <w:rFonts w:ascii="Arial Black" w:eastAsia="Times New Roman" w:hAnsi="Arial Black" w:cs="Times New Roman"/>
          <w:b/>
          <w:color w:val="0000FF"/>
          <w:sz w:val="27"/>
          <w:szCs w:val="27"/>
          <w:lang w:eastAsia="cs-CZ"/>
        </w:rPr>
        <w:t>která vyžadují výklad, popřípadě novelizaci</w:t>
      </w:r>
    </w:p>
    <w:p w:rsidR="004910E8" w:rsidRPr="004910E8" w:rsidRDefault="004910E8" w:rsidP="004910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4910E8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Použité symboly:</w:t>
      </w:r>
    </w:p>
    <w:tbl>
      <w:tblPr>
        <w:tblW w:w="949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4"/>
        <w:gridCol w:w="380"/>
        <w:gridCol w:w="2564"/>
        <w:gridCol w:w="380"/>
        <w:gridCol w:w="380"/>
        <w:gridCol w:w="5127"/>
      </w:tblGrid>
      <w:tr w:rsidR="004910E8" w:rsidRPr="004910E8">
        <w:trPr>
          <w:tblCellSpacing w:w="0" w:type="dxa"/>
        </w:trPr>
        <w:tc>
          <w:tcPr>
            <w:tcW w:w="350" w:type="pct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00" w:type="pct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=</w:t>
            </w:r>
          </w:p>
        </w:tc>
        <w:tc>
          <w:tcPr>
            <w:tcW w:w="1350" w:type="pct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řešit výkladem</w:t>
            </w:r>
          </w:p>
        </w:tc>
        <w:tc>
          <w:tcPr>
            <w:tcW w:w="200" w:type="pct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FF00FF"/>
                <w:sz w:val="24"/>
                <w:szCs w:val="24"/>
                <w:u w:val="single"/>
                <w:lang w:eastAsia="cs-CZ"/>
              </w:rPr>
              <w:t>V</w:t>
            </w:r>
          </w:p>
        </w:tc>
        <w:tc>
          <w:tcPr>
            <w:tcW w:w="200" w:type="pct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FF00FF"/>
                <w:sz w:val="24"/>
                <w:szCs w:val="24"/>
                <w:lang w:eastAsia="cs-CZ"/>
              </w:rPr>
              <w:t>=</w:t>
            </w:r>
          </w:p>
        </w:tc>
        <w:tc>
          <w:tcPr>
            <w:tcW w:w="2700" w:type="pct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FF00FF"/>
                <w:sz w:val="24"/>
                <w:szCs w:val="24"/>
                <w:lang w:eastAsia="cs-CZ"/>
              </w:rPr>
              <w:t>odkaz na výklad KE AKV</w:t>
            </w:r>
          </w:p>
        </w:tc>
      </w:tr>
      <w:tr w:rsidR="004910E8" w:rsidRPr="004910E8">
        <w:trPr>
          <w:tblCellSpacing w:w="0" w:type="dxa"/>
        </w:trPr>
        <w:tc>
          <w:tcPr>
            <w:tcW w:w="350" w:type="pct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200" w:type="pct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=</w:t>
            </w:r>
          </w:p>
        </w:tc>
        <w:tc>
          <w:tcPr>
            <w:tcW w:w="1350" w:type="pct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řešit novelou</w:t>
            </w:r>
          </w:p>
        </w:tc>
        <w:tc>
          <w:tcPr>
            <w:tcW w:w="200" w:type="pct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FF00FF"/>
                <w:sz w:val="24"/>
                <w:szCs w:val="24"/>
                <w:u w:val="single"/>
                <w:lang w:eastAsia="cs-CZ"/>
              </w:rPr>
              <w:t>N</w:t>
            </w:r>
          </w:p>
        </w:tc>
        <w:tc>
          <w:tcPr>
            <w:tcW w:w="200" w:type="pct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FF00FF"/>
                <w:sz w:val="24"/>
                <w:szCs w:val="24"/>
                <w:lang w:eastAsia="cs-CZ"/>
              </w:rPr>
              <w:t>=</w:t>
            </w:r>
          </w:p>
        </w:tc>
        <w:tc>
          <w:tcPr>
            <w:tcW w:w="2700" w:type="pct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FF00FF"/>
                <w:sz w:val="24"/>
                <w:szCs w:val="24"/>
                <w:lang w:eastAsia="cs-CZ"/>
              </w:rPr>
              <w:t>AKV zaujalo stanovisko k novele</w:t>
            </w:r>
          </w:p>
        </w:tc>
      </w:tr>
      <w:tr w:rsidR="004910E8" w:rsidRPr="004910E8">
        <w:trPr>
          <w:tblCellSpacing w:w="0" w:type="dxa"/>
        </w:trPr>
        <w:tc>
          <w:tcPr>
            <w:tcW w:w="350" w:type="pct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N(V)</w:t>
            </w:r>
          </w:p>
        </w:tc>
        <w:tc>
          <w:tcPr>
            <w:tcW w:w="200" w:type="pct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=</w:t>
            </w:r>
          </w:p>
        </w:tc>
        <w:tc>
          <w:tcPr>
            <w:tcW w:w="4450" w:type="pct"/>
            <w:gridSpan w:val="4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řešit novelou, popřípadě se pokusit o výklad</w:t>
            </w:r>
          </w:p>
        </w:tc>
      </w:tr>
    </w:tbl>
    <w:p w:rsidR="004910E8" w:rsidRPr="004910E8" w:rsidRDefault="004910E8" w:rsidP="00491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cs-CZ"/>
        </w:rPr>
      </w:pPr>
      <w:r w:rsidRPr="004910E8">
        <w:rPr>
          <w:rFonts w:ascii="Times New Roman" w:eastAsia="Times New Roman" w:hAnsi="Times New Roman" w:cs="Times New Roman"/>
          <w:bCs w:val="0"/>
          <w:sz w:val="24"/>
          <w:szCs w:val="24"/>
          <w:lang w:eastAsia="cs-CZ"/>
        </w:rPr>
        <w:t> </w:t>
      </w:r>
    </w:p>
    <w:p w:rsidR="004910E8" w:rsidRPr="004910E8" w:rsidRDefault="004910E8" w:rsidP="004910E8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color w:val="0000FF"/>
          <w:sz w:val="24"/>
          <w:szCs w:val="24"/>
          <w:u w:val="single"/>
          <w:lang w:eastAsia="cs-CZ"/>
        </w:rPr>
      </w:pPr>
      <w:r w:rsidRPr="004910E8">
        <w:rPr>
          <w:rFonts w:ascii="Arial Black" w:eastAsia="Times New Roman" w:hAnsi="Arial Black" w:cs="Times New Roman"/>
          <w:b/>
          <w:color w:val="0000FF"/>
          <w:sz w:val="24"/>
          <w:szCs w:val="24"/>
          <w:u w:val="single"/>
          <w:lang w:eastAsia="cs-CZ"/>
        </w:rPr>
        <w:t>Zákoník práce</w:t>
      </w:r>
    </w:p>
    <w:tbl>
      <w:tblPr>
        <w:tblW w:w="82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62"/>
        <w:gridCol w:w="5836"/>
        <w:gridCol w:w="822"/>
      </w:tblGrid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§18/1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odborová organizace nepůsobí v rámci celé firmy, naplnění práva na informace a projednání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hyperlink r:id="rId6" w:history="1">
              <w:r w:rsidRPr="004910E8">
                <w:rPr>
                  <w:rFonts w:ascii="Times New Roman" w:eastAsia="Times New Roman" w:hAnsi="Times New Roman" w:cs="Times New Roman"/>
                  <w:bCs w:val="0"/>
                  <w:color w:val="0000FF"/>
                  <w:sz w:val="24"/>
                  <w:szCs w:val="24"/>
                  <w:u w:val="single"/>
                  <w:lang w:eastAsia="cs-CZ"/>
                </w:rPr>
                <w:t>V</w:t>
              </w:r>
            </w:hyperlink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22/2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co to jsou osobní údaje, podléhající ochraně osobnosti (souvislost se zák. č. 101/2000 Sb.)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 (V)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25a/4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kvórum pro platnost voleb – neúčast zaměstnanců, jimž v tom brání čerpání dovolené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hyperlink r:id="rId7" w:history="1">
              <w:r w:rsidRPr="004910E8">
                <w:rPr>
                  <w:rFonts w:ascii="Times New Roman" w:eastAsia="Times New Roman" w:hAnsi="Times New Roman" w:cs="Times New Roman"/>
                  <w:bCs w:val="0"/>
                  <w:color w:val="0000FF"/>
                  <w:sz w:val="24"/>
                  <w:szCs w:val="24"/>
                  <w:u w:val="single"/>
                  <w:lang w:eastAsia="cs-CZ"/>
                </w:rPr>
                <w:t>N (V)</w:t>
              </w:r>
            </w:hyperlink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25c/5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nároky dlouhodobě uvolněných odborových funkcionářů (náhrada mzdy versus odměna dle vyhl. č. 172/1973 Sb.) 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hyperlink r:id="rId8" w:history="1">
              <w:r w:rsidRPr="004910E8">
                <w:rPr>
                  <w:rFonts w:ascii="Times New Roman" w:eastAsia="Times New Roman" w:hAnsi="Times New Roman" w:cs="Times New Roman"/>
                  <w:bCs w:val="0"/>
                  <w:color w:val="0000FF"/>
                  <w:sz w:val="24"/>
                  <w:szCs w:val="24"/>
                  <w:u w:val="single"/>
                  <w:lang w:eastAsia="cs-CZ"/>
                </w:rPr>
                <w:t>V</w:t>
              </w:r>
            </w:hyperlink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29/1,</w:t>
            </w:r>
          </w:p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38/1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možnosti a limity širšího vymezení místa výkonu práce, a to i ve vazbě na určení pravidelného pracoviště pro účely cestovních náhrad (dle § 2 zák. č. 119/1992 Sb.)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29/2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možnost poskytování hmotné kompenzace při sjednání konkurenční doložky, okruh zaměstnanců, s nimiž ji lze sjednat, přiměřenost smluvní pokuty 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hyperlink r:id="rId9" w:history="1">
              <w:r w:rsidRPr="004910E8">
                <w:rPr>
                  <w:rFonts w:ascii="Times New Roman" w:eastAsia="Times New Roman" w:hAnsi="Times New Roman" w:cs="Times New Roman"/>
                  <w:bCs w:val="0"/>
                  <w:color w:val="0000FF"/>
                  <w:sz w:val="24"/>
                  <w:szCs w:val="24"/>
                  <w:u w:val="single"/>
                  <w:lang w:eastAsia="cs-CZ"/>
                </w:rPr>
                <w:t>N (V)</w:t>
              </w:r>
            </w:hyperlink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vztah k § 46 /1e) – nesplnění požadavků při odmítnutí zaměstnance ji dodatečně sjednat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hyperlink r:id="rId10" w:history="1">
              <w:r w:rsidRPr="004910E8">
                <w:rPr>
                  <w:rFonts w:ascii="Times New Roman" w:eastAsia="Times New Roman" w:hAnsi="Times New Roman" w:cs="Times New Roman"/>
                  <w:bCs w:val="0"/>
                  <w:color w:val="0000FF"/>
                  <w:sz w:val="24"/>
                  <w:szCs w:val="24"/>
                  <w:u w:val="single"/>
                  <w:lang w:eastAsia="cs-CZ"/>
                </w:rPr>
                <w:t>V</w:t>
              </w:r>
            </w:hyperlink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bookmarkStart w:id="0" w:name="_Hlk873342"/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29/3</w:t>
            </w:r>
            <w:bookmarkEnd w:id="0"/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požadavek na jmenování na funkční období, jako podmínka pro sjednání odchodného </w:t>
            </w:r>
          </w:p>
        </w:tc>
        <w:bookmarkStart w:id="1" w:name="_Hlk873367"/>
        <w:bookmarkEnd w:id="1"/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fldChar w:fldCharType="begin"/>
            </w: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instrText xml:space="preserve"> HYPERLINK "http://www.volny.cz/akv/ke4.htm" </w:instrText>
            </w: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fldChar w:fldCharType="separate"/>
            </w:r>
            <w:r w:rsidRPr="004910E8">
              <w:rPr>
                <w:rFonts w:ascii="Times New Roman" w:eastAsia="Times New Roman" w:hAnsi="Times New Roman" w:cs="Times New Roman"/>
                <w:bCs w:val="0"/>
                <w:color w:val="0000FF"/>
                <w:sz w:val="24"/>
                <w:szCs w:val="24"/>
                <w:u w:val="single"/>
                <w:lang w:eastAsia="cs-CZ"/>
              </w:rPr>
              <w:t>N</w:t>
            </w: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možnost sjednat v jiné smlouvě (např. manažerské) podmínky, které lze dle zákona dohodnout v pracovní smlouvě, pokud jde o “jmenované” zaměstnance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hyperlink r:id="rId11" w:history="1">
              <w:r w:rsidRPr="004910E8">
                <w:rPr>
                  <w:rFonts w:ascii="Times New Roman" w:eastAsia="Times New Roman" w:hAnsi="Times New Roman" w:cs="Times New Roman"/>
                  <w:bCs w:val="0"/>
                  <w:color w:val="0000FF"/>
                  <w:sz w:val="24"/>
                  <w:szCs w:val="24"/>
                  <w:u w:val="single"/>
                  <w:lang w:eastAsia="cs-CZ"/>
                </w:rPr>
                <w:t>N (V)</w:t>
              </w:r>
            </w:hyperlink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30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posuzování neopodstatněného sjednávání pracovních poměrů na dobu určitou jako odporující zákonu, a to ve vazbě na § 1 odst. 3 a 4 a § 7 odst. 2 ZP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lastRenderedPageBreak/>
              <w:t>§ 32/3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předepsané údaje o právech a povinnostech mohou být obsaženy v  pracovní smlouvě jen tehdy, jsou-li součástí smluvního obsahu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48/1d),§ 49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ochrana zákazem výpovědi v době trvalé péče o dítě do 3 let věku (v praxi problém mužů) – zejména nepropustitelnost při závažném a soustavném méně závažném porušování pracovní kázně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60a/1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zvýšení odstupného o násobky dané necelým číslem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0" w:type="auto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§65/3</w:t>
            </w:r>
          </w:p>
        </w:tc>
        <w:tc>
          <w:tcPr>
            <w:tcW w:w="0" w:type="auto"/>
            <w:vAlign w:val="center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co je jinou vhodnou prací pro zaměstnance odvolaného z funkce, nebo který se funkce vzdal, pro účely tohoto ustanovení</w:t>
            </w:r>
          </w:p>
        </w:tc>
        <w:tc>
          <w:tcPr>
            <w:tcW w:w="0" w:type="auto"/>
            <w:vAlign w:val="center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0" w:type="auto"/>
            <w:vAlign w:val="center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závaznost sjednaného druhu práce v pracovní smlouvě u zaměstnance, který byl později jmenován do funkce, a po odvolání z funkce či vzdání se funkce s ním má být dohodnuto další pracovní zařazení</w:t>
            </w:r>
          </w:p>
        </w:tc>
        <w:tc>
          <w:tcPr>
            <w:tcW w:w="0" w:type="auto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0" w:type="auto"/>
            <w:vAlign w:val="center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právní forma dohody o dalším pracovním zařazení zaměstnance</w:t>
            </w:r>
          </w:p>
        </w:tc>
        <w:tc>
          <w:tcPr>
            <w:tcW w:w="0" w:type="auto"/>
            <w:vAlign w:val="center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73/2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kdo jsou zaměstnanci </w:t>
            </w: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u w:val="single"/>
                <w:lang w:eastAsia="cs-CZ"/>
              </w:rPr>
              <w:t>orgánů</w:t>
            </w: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 územních samosprávných celků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 (V)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83/4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co je vzájemné střídání zaměstnanců při dvousměnném, třísměnném a nepřetržitém provozu (možnost překrývání směn)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83a/2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znevýhodnění v délce týdenní pracovní doby při práci v dvousměnném </w:t>
            </w: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u w:val="single"/>
                <w:lang w:eastAsia="cs-CZ"/>
              </w:rPr>
              <w:t>přetržitém</w:t>
            </w: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 provozu při 12 či 11 hodinových směnách po 24 hodin, oproti provozu třísměnnému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83a/3, §279/3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délka pracovní doby, jestliže byla dříve zkrácena a novela ZP případ neřeší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§84/2, §85a</w:t>
            </w:r>
          </w:p>
        </w:tc>
        <w:tc>
          <w:tcPr>
            <w:tcW w:w="0" w:type="auto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zda délka směny i při týdenní a čtyřtýdenní formě pružné pracovní doby (rovnoměrné rozvržení) nesmí přesáhnout 9 hodin, protože zákon nestanoví v ust. §85a výjimku</w:t>
            </w:r>
          </w:p>
        </w:tc>
        <w:tc>
          <w:tcPr>
            <w:tcW w:w="0" w:type="auto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N(V)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85/1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jakým způsobem lze se zaměstnacem dohodnout nerovnoměrné rozvržení pracovní doby (zda má jít o souhlas s každým rozvrhem nebo postačí souhlas generální)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85/2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překročení limitu 9hodinové délky směny u nerovnoměrného rozvržení prac. doby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hyperlink r:id="rId12" w:history="1">
              <w:r w:rsidRPr="004910E8">
                <w:rPr>
                  <w:rFonts w:ascii="Times New Roman" w:eastAsia="Times New Roman" w:hAnsi="Times New Roman" w:cs="Times New Roman"/>
                  <w:b/>
                  <w:color w:val="FF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85/3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délka období, na které je nutné zpracovat písemný rozvrh pracovní doby při jejím nerovnoměrném rozvržení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§85a/2,§ 99a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možnost sjednání konkrétních podmínek pružné prac. doby v KS, namísto jejich stanovení v pracovní řádu 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lastRenderedPageBreak/>
              <w:t>§ 89/1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možnost rozdělení přestávky na více částí 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hyperlink r:id="rId13" w:history="1">
              <w:r w:rsidRPr="004910E8">
                <w:rPr>
                  <w:rFonts w:ascii="Times New Roman" w:eastAsia="Times New Roman" w:hAnsi="Times New Roman" w:cs="Times New Roman"/>
                  <w:b/>
                  <w:color w:val="FF00FF"/>
                  <w:sz w:val="24"/>
                  <w:szCs w:val="24"/>
                  <w:u w:val="single"/>
                  <w:lang w:eastAsia="cs-CZ"/>
                </w:rPr>
                <w:t>V</w:t>
              </w:r>
            </w:hyperlink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není-li přestávka poskytnuta nejpozději po 4,5 hodinách práce, ale zaměstnanec má odpočinek později, jde jen o přiměřenou dobu na jídlo a oddech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hyperlink r:id="rId14" w:history="1">
              <w:r w:rsidRPr="004910E8">
                <w:rPr>
                  <w:rFonts w:ascii="Times New Roman" w:eastAsia="Times New Roman" w:hAnsi="Times New Roman" w:cs="Times New Roman"/>
                  <w:b/>
                  <w:color w:val="FF00FF"/>
                  <w:sz w:val="24"/>
                  <w:szCs w:val="24"/>
                  <w:u w:val="single"/>
                  <w:lang w:eastAsia="cs-CZ"/>
                </w:rPr>
                <w:t>V</w:t>
              </w:r>
            </w:hyperlink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vliv bezpečnostních přestávek na přestávku na jídlo a oddech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hyperlink r:id="rId15" w:history="1">
              <w:r w:rsidRPr="004910E8">
                <w:rPr>
                  <w:rFonts w:ascii="Times New Roman" w:eastAsia="Times New Roman" w:hAnsi="Times New Roman" w:cs="Times New Roman"/>
                  <w:b/>
                  <w:color w:val="FF00FF"/>
                  <w:sz w:val="24"/>
                  <w:szCs w:val="24"/>
                  <w:u w:val="single"/>
                  <w:lang w:eastAsia="cs-CZ"/>
                </w:rPr>
                <w:t>V</w:t>
              </w:r>
            </w:hyperlink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limity svobodného jednání zaměstnance v době přestávky – možnost bránit mu v opuštění objektu zaměstnavatele 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hyperlink r:id="rId16" w:history="1">
              <w:r w:rsidRPr="004910E8">
                <w:rPr>
                  <w:rFonts w:ascii="Times New Roman" w:eastAsia="Times New Roman" w:hAnsi="Times New Roman" w:cs="Times New Roman"/>
                  <w:b/>
                  <w:color w:val="FF00FF"/>
                  <w:sz w:val="24"/>
                  <w:szCs w:val="24"/>
                  <w:u w:val="single"/>
                  <w:lang w:eastAsia="cs-CZ"/>
                </w:rPr>
                <w:t>V</w:t>
              </w:r>
            </w:hyperlink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přestávka nejpozději po 4,5 hodinách jen pro mladistvé (dle směrnice EU), u ostatních tuto dobu posunout (dle směrnice EU možno až na 6 hodin) 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hyperlink r:id="rId17" w:history="1">
              <w:r w:rsidRPr="004910E8">
                <w:rPr>
                  <w:rFonts w:ascii="Times New Roman" w:eastAsia="Times New Roman" w:hAnsi="Times New Roman" w:cs="Times New Roman"/>
                  <w:b/>
                  <w:color w:val="FF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od kdy se počítá nepřetržitá práce, navazuje-li na směnu práce přes čas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89/1,</w:t>
            </w:r>
          </w:p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101 a násl.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co je půlden dovolené při jejímž mimořádném čerpání v tomto rozsahu, v souvislosti s neplacenými přestávkami v práci, a to i ve vazbě na náhradu mzdy za dovolenou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89/4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pojem “směna” nahradit pojmem “pracovní doba” 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hyperlink r:id="rId18" w:history="1">
              <w:r w:rsidRPr="004910E8">
                <w:rPr>
                  <w:rFonts w:ascii="Times New Roman" w:eastAsia="Times New Roman" w:hAnsi="Times New Roman" w:cs="Times New Roman"/>
                  <w:b/>
                  <w:color w:val="FF00FF"/>
                  <w:sz w:val="24"/>
                  <w:szCs w:val="24"/>
                  <w:u w:val="single"/>
                  <w:lang w:eastAsia="cs-CZ"/>
                </w:rPr>
                <w:t>N (V)</w:t>
              </w:r>
            </w:hyperlink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90/2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přijmout tezi, že “odpočinek může být zkrácen až na 8 hodin …… zapodmínky, že následující odpočinek bude prodloužen </w:t>
            </w: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u w:val="single"/>
                <w:lang w:eastAsia="cs-CZ"/>
              </w:rPr>
              <w:t>nad 12 hodin</w:t>
            </w: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 o dobu jeho zkrácení </w:t>
            </w: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u w:val="single"/>
                <w:lang w:eastAsia="cs-CZ"/>
              </w:rPr>
              <w:t>pod tuto hranici”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hyperlink r:id="rId19" w:history="1">
              <w:r w:rsidRPr="004910E8">
                <w:rPr>
                  <w:rFonts w:ascii="Times New Roman" w:eastAsia="Times New Roman" w:hAnsi="Times New Roman" w:cs="Times New Roman"/>
                  <w:b/>
                  <w:color w:val="FF00FF"/>
                  <w:sz w:val="24"/>
                  <w:szCs w:val="24"/>
                  <w:u w:val="single"/>
                  <w:lang w:eastAsia="cs-CZ"/>
                </w:rPr>
                <w:t>N (V)</w:t>
              </w:r>
            </w:hyperlink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pojem “směna” pro tento účel znamená i ucelenou práci přesčas (dříveznačovanou jako “přesčasovou směnu”) v době nepřetržitého odpočinku v týdnu 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hyperlink r:id="rId20" w:history="1">
              <w:r w:rsidRPr="004910E8">
                <w:rPr>
                  <w:rFonts w:ascii="Times New Roman" w:eastAsia="Times New Roman" w:hAnsi="Times New Roman" w:cs="Times New Roman"/>
                  <w:b/>
                  <w:color w:val="FF00FF"/>
                  <w:sz w:val="24"/>
                  <w:szCs w:val="24"/>
                  <w:u w:val="single"/>
                  <w:lang w:eastAsia="cs-CZ"/>
                </w:rPr>
                <w:t>N (V)</w:t>
              </w:r>
            </w:hyperlink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92, § 96/1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nepřetržitý odpočinek v týdnu může být narušen prací přesčas i tehdy, jde-li o práci se souhlasem zaměstnance- v jiných případech, než jsou uvedeny v § 91 (nepřetržitý odpočinek mezi směnami dle § 90 ale musí být zachován) 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96/2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souhlas zaměstnance s prací přesčas nad limity pro její nařízení nelze sjednat smluvně - § 242/1c) ZP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hyperlink r:id="rId21" w:history="1">
              <w:r w:rsidRPr="004910E8">
                <w:rPr>
                  <w:rFonts w:ascii="Times New Roman" w:eastAsia="Times New Roman" w:hAnsi="Times New Roman" w:cs="Times New Roman"/>
                  <w:b/>
                  <w:color w:val="FF00FF"/>
                  <w:sz w:val="24"/>
                  <w:szCs w:val="24"/>
                  <w:u w:val="single"/>
                  <w:lang w:eastAsia="cs-CZ"/>
                </w:rPr>
                <w:t>V</w:t>
              </w:r>
            </w:hyperlink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96/2 a 4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otázka, zda je či není nutné pro stanovení celkového rozsahu práce přesčas odečíst týdny, kdy není práce vůbec konána (z důvodu dovolené a překážek v práci) 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hyperlink r:id="rId22" w:history="1">
              <w:r w:rsidRPr="004910E8">
                <w:rPr>
                  <w:rFonts w:ascii="Times New Roman" w:eastAsia="Times New Roman" w:hAnsi="Times New Roman" w:cs="Times New Roman"/>
                  <w:b/>
                  <w:color w:val="FF00FF"/>
                  <w:sz w:val="24"/>
                  <w:szCs w:val="24"/>
                  <w:u w:val="single"/>
                  <w:lang w:eastAsia="cs-CZ"/>
                </w:rPr>
                <w:t>V</w:t>
              </w:r>
            </w:hyperlink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99/4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není-li vyrovnávací období pro celkový limit práce přesčas sjednáno v KS, platí automaticky kratší stanovená délka tohoto období (4, resp.6 měsíců), popř. má se za to, že s tím zaměstnanec souhlasí, jestliže na přesčas dobrovolně nastupuje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 (V)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99/3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pro komplikovanost (téměř nesrozumitelnost) hledat jiné řešení, v souladu se směrnicí EU 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hyperlink r:id="rId23" w:history="1">
              <w:r w:rsidRPr="004910E8">
                <w:rPr>
                  <w:rFonts w:ascii="Times New Roman" w:eastAsia="Times New Roman" w:hAnsi="Times New Roman" w:cs="Times New Roman"/>
                  <w:b/>
                  <w:color w:val="FF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lastRenderedPageBreak/>
              <w:t>§ 130/2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zda výše náhrady mzdy musí být v dohodě sjednána (podstatná náležitost dohody?) či zda – není-li dohodnuta – je automaticky ve výši 60 % PV, event. zda ji může stanovit zaměstnavatel sám 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hyperlink r:id="rId24" w:history="1">
              <w:r w:rsidRPr="004910E8">
                <w:rPr>
                  <w:rFonts w:ascii="Times New Roman" w:eastAsia="Times New Roman" w:hAnsi="Times New Roman" w:cs="Times New Roman"/>
                  <w:b/>
                  <w:color w:val="FF00FF"/>
                  <w:sz w:val="24"/>
                  <w:szCs w:val="24"/>
                  <w:u w:val="single"/>
                  <w:lang w:eastAsia="cs-CZ"/>
                </w:rPr>
                <w:t>V</w:t>
              </w:r>
            </w:hyperlink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132a/6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zda je dobrovolná činnost při organizování první pomoci prací, za níž přísluší mzda či plat (souvislost se zák. o mzdě a zák. o platu)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132b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umožnění činnosti odborně způsobilé osoby i prostřednictvím odbornýchfirem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 (V)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133/1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v jakém rozsahu musí být vedena dokumentace o pokynech k BOZP, jestliže je v praxi většina pokynů neformálních a spojených s příkazem k výkonu konkrétní práce 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135/4e)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pojem “pracoviště” pro účely zákazu kouření na pracovištích, kde pracují i nekuřáci 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147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doba ochrany zaměstnance (muže) čerpajícího rodičovskou dovolenou "v rozsahu doby, po kterou je žena oprávněna čerpat mateřskou dovolenou" - souvislost s rozdílnou dikcí v § 49 a § 108/4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154, §270,§ 38/1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právo těhotných zaměstnankyň, jakož i zaměstnankyň či zaměstnanců pečujících o děti, odmítnout vyslání na pracovní cestu přesto, že souhlas s vysíláním vyslovili v pracovní smlouvě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232/1b)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co je v současnosti přípustné posuzovat jako “nehospodárnost z jiných důvodů” a zda je již překonán pojem “hlediska zájmů společnosti”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249/2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jakými formami může dojít k převodu úkolů nebo činnosti zaměstnavatele, resp. jejich části 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251</w:t>
            </w:r>
          </w:p>
        </w:tc>
        <w:tc>
          <w:tcPr>
            <w:tcW w:w="35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zrušení zaměstnavatele – co by mělo být předmětem požadovaného určení – zda jen práva a povinnosti z pracovněprávních vztahů, které již zanikly (souvislost s § 69c/1 obchodního zákoníku) 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</w:tbl>
    <w:p w:rsidR="004910E8" w:rsidRPr="004910E8" w:rsidRDefault="004910E8" w:rsidP="004910E8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color w:val="0000FF"/>
          <w:sz w:val="24"/>
          <w:szCs w:val="24"/>
          <w:u w:val="single"/>
          <w:lang w:eastAsia="cs-CZ"/>
        </w:rPr>
      </w:pPr>
      <w:r w:rsidRPr="004910E8">
        <w:rPr>
          <w:rFonts w:ascii="Arial Black" w:eastAsia="Times New Roman" w:hAnsi="Arial Black" w:cs="Times New Roman"/>
          <w:b/>
          <w:color w:val="0000FF"/>
          <w:sz w:val="24"/>
          <w:szCs w:val="24"/>
          <w:u w:val="single"/>
          <w:lang w:eastAsia="cs-CZ"/>
        </w:rPr>
        <w:t>Zákon o mzdě (zákon o platu)</w:t>
      </w:r>
    </w:p>
    <w:tbl>
      <w:tblPr>
        <w:tblW w:w="82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78"/>
        <w:gridCol w:w="5812"/>
        <w:gridCol w:w="830"/>
      </w:tblGrid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4/2</w:t>
            </w:r>
          </w:p>
        </w:tc>
        <w:tc>
          <w:tcPr>
            <w:tcW w:w="3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rozlišení mzdových a nemzdových plnění – odměny při pracovních a životních výročích a při odchodu do důchodu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4a</w:t>
            </w:r>
          </w:p>
        </w:tc>
        <w:tc>
          <w:tcPr>
            <w:tcW w:w="3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ustanovení obsahuje hlediska, umožňující diferencovat mzdu – protiprávní je nejen jestliže dva zaměstnanci vykonávající stejnou práci mají rozdílnou mzdu, ale též, jestliže dva zaměstnanci konající kvalitativně rozdílnou práci mají stejnou mzdu (propojenost s § 4/2)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posouzení stejné mzdy za stejnou práci u téhož zaměstnavatele – možnosti a limity diferenciace mzdy podle výsledků vnitřních organizačních jednotek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protiprávnost vázání mzdových složek na nečerpání pracovní neschopnosti, ošetřování nemocného člena rodiny a souvisejících překážek v práci (vazba na § 1/4 ZP)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Předpoklady pro uplatnění práva zaměstnanců na stejnou mzdu za stejnou práci žalobou u soudu, zejména zda je dána povinnost zaměstnavatele sdělit jim údaje o mzdě srovnatelných zaměstnanců (ve vazbě na zákon č. 101/2000 Sb., o ochraně osobních údajů)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3/3 ZPl</w:t>
            </w:r>
          </w:p>
        </w:tc>
        <w:tc>
          <w:tcPr>
            <w:tcW w:w="3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dopad zásady stejného platu na konkrétní složky platu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5/2</w:t>
            </w:r>
          </w:p>
        </w:tc>
        <w:tc>
          <w:tcPr>
            <w:tcW w:w="3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praktické možnosti sjednání mzdy již s přihlédnutím k případné práci přesčas – vztah k limitům dle § 96/1 ZP 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6/2,</w:t>
            </w:r>
          </w:p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17</w:t>
            </w:r>
          </w:p>
        </w:tc>
        <w:tc>
          <w:tcPr>
            <w:tcW w:w="3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co je částí mzdy, která zaměstnanci ušla v důsledku svátku a vazba na odpracovanou dobu pro účely průměrného výdělku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10/2 ZPl</w:t>
            </w:r>
          </w:p>
        </w:tc>
        <w:tc>
          <w:tcPr>
            <w:tcW w:w="3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způsob posuzování práce přesčas zahrnuté do platu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8 a § 17</w:t>
            </w:r>
          </w:p>
        </w:tc>
        <w:tc>
          <w:tcPr>
            <w:tcW w:w="3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doplatek do PV při převedení na jinou práci je složkou mzdy, která musí být zahrnována do hrubé mzdy pro zjištění PV 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11/2</w:t>
            </w:r>
          </w:p>
        </w:tc>
        <w:tc>
          <w:tcPr>
            <w:tcW w:w="3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zaokrouhluje se čistá mzda pro výplatu (nebo i hrubá?)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dtto§17/1 ZP</w:t>
            </w:r>
          </w:p>
        </w:tc>
        <w:tc>
          <w:tcPr>
            <w:tcW w:w="3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t> 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§ 11/6</w:t>
            </w:r>
          </w:p>
        </w:tc>
        <w:tc>
          <w:tcPr>
            <w:tcW w:w="3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bezhotovostní výplatu mzdy nelze smluvně sjednat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dtto§17/5 ZP</w:t>
            </w:r>
          </w:p>
        </w:tc>
        <w:tc>
          <w:tcPr>
            <w:tcW w:w="3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t> 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color w:val="800080"/>
                <w:sz w:val="24"/>
                <w:szCs w:val="24"/>
                <w:lang w:eastAsia="cs-CZ"/>
              </w:rPr>
              <w:t>čl. II bod 4</w:t>
            </w:r>
          </w:p>
        </w:tc>
        <w:tc>
          <w:tcPr>
            <w:tcW w:w="3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>zachování výše mzdy v souvislosti se změnou délky pracovní doby zák.č.u kratších úvazků 155/2000 Sb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  <w:tr w:rsidR="004910E8" w:rsidRPr="004910E8">
        <w:trPr>
          <w:tblCellSpacing w:w="0" w:type="dxa"/>
        </w:trPr>
        <w:tc>
          <w:tcPr>
            <w:tcW w:w="95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sz w:val="24"/>
                <w:szCs w:val="24"/>
                <w:lang w:eastAsia="cs-CZ"/>
              </w:rPr>
              <w:t xml:space="preserve">mzdový dopad případů, kdy nebyla pro rok 2001 zkrácena prac. doba bez snížení mzdy v KS, resp. vnitřním předpisu, ačkoliv tomu tak v roce 2000 bylo (např. pracovní doba zůstala nominálně na 40 hodinách týdně). </w:t>
            </w:r>
          </w:p>
        </w:tc>
        <w:tc>
          <w:tcPr>
            <w:tcW w:w="500" w:type="pct"/>
            <w:shd w:val="clear" w:color="auto" w:fill="FFFFFF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</w:tr>
    </w:tbl>
    <w:p w:rsidR="004910E8" w:rsidRPr="004910E8" w:rsidRDefault="004910E8" w:rsidP="004910E8">
      <w:pPr>
        <w:spacing w:before="100" w:beforeAutospacing="1" w:after="100" w:afterAutospacing="1" w:line="240" w:lineRule="auto"/>
        <w:rPr>
          <w:rFonts w:ascii="Arial" w:eastAsia="Times New Roman" w:hAnsi="Arial" w:cs="Arial"/>
          <w:bCs w:val="0"/>
          <w:sz w:val="20"/>
          <w:szCs w:val="20"/>
          <w:lang w:eastAsia="cs-CZ"/>
        </w:rPr>
      </w:pPr>
      <w:r w:rsidRPr="004910E8">
        <w:rPr>
          <w:rFonts w:ascii="Arial" w:eastAsia="Times New Roman" w:hAnsi="Arial" w:cs="Arial"/>
          <w:bCs w:val="0"/>
          <w:sz w:val="20"/>
          <w:szCs w:val="20"/>
          <w:lang w:eastAsia="cs-CZ"/>
        </w:rPr>
        <w:t>Datum poslední aktualizace 3. 4. 2001</w:t>
      </w:r>
    </w:p>
    <w:tbl>
      <w:tblPr>
        <w:tblW w:w="828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5"/>
        <w:gridCol w:w="7535"/>
      </w:tblGrid>
      <w:tr w:rsidR="004910E8" w:rsidRPr="004910E8">
        <w:trPr>
          <w:tblCellSpacing w:w="0" w:type="dxa"/>
        </w:trPr>
        <w:tc>
          <w:tcPr>
            <w:tcW w:w="450" w:type="pct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550" w:type="pct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color w:val="FF00FF"/>
                <w:sz w:val="20"/>
                <w:szCs w:val="20"/>
                <w:lang w:eastAsia="cs-CZ"/>
              </w:rPr>
              <w:t>Zpracováno jako podklad pro jednání Kolegia expertů AKV dne 31. 1. 2001 v Mladé Boleslavi</w:t>
            </w:r>
          </w:p>
        </w:tc>
      </w:tr>
      <w:tr w:rsidR="004910E8" w:rsidRPr="004910E8">
        <w:trPr>
          <w:tblCellSpacing w:w="0" w:type="dxa"/>
        </w:trPr>
        <w:tc>
          <w:tcPr>
            <w:tcW w:w="450" w:type="pct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550" w:type="pct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color w:val="FF00FF"/>
                <w:sz w:val="20"/>
                <w:szCs w:val="20"/>
                <w:lang w:eastAsia="cs-CZ"/>
              </w:rPr>
              <w:t xml:space="preserve">Přijato KE AKV dne 5. 3. 2001 v Praze. Dokument je určen příslušným státním </w:t>
            </w:r>
            <w:r w:rsidRPr="004910E8">
              <w:rPr>
                <w:rFonts w:ascii="Arial" w:eastAsia="Times New Roman" w:hAnsi="Arial" w:cs="Arial"/>
                <w:bCs w:val="0"/>
                <w:i/>
                <w:iCs/>
                <w:color w:val="FF00FF"/>
                <w:sz w:val="20"/>
                <w:szCs w:val="20"/>
                <w:lang w:eastAsia="cs-CZ"/>
              </w:rPr>
              <w:lastRenderedPageBreak/>
              <w:t xml:space="preserve">orgánům, sociálním partnerům tripartity a poslancům a senátorům Parlamentu ČR i odborné veřejnosti. Bude publikován na internetových stránkách AKV: </w:t>
            </w:r>
            <w:hyperlink r:id="rId25" w:history="1">
              <w:r w:rsidRPr="004910E8">
                <w:rPr>
                  <w:rFonts w:ascii="Times New Roman" w:eastAsia="Times New Roman" w:hAnsi="Times New Roman" w:cs="Times New Roman"/>
                  <w:bCs w:val="0"/>
                  <w:i/>
                  <w:iCs/>
                  <w:color w:val="FF00FF"/>
                  <w:sz w:val="24"/>
                  <w:szCs w:val="24"/>
                  <w:u w:val="single"/>
                  <w:lang w:eastAsia="cs-CZ"/>
                </w:rPr>
                <w:t>www.volny.cz/akv</w:t>
              </w:r>
            </w:hyperlink>
            <w:r w:rsidRPr="004910E8">
              <w:rPr>
                <w:rFonts w:ascii="Arial" w:eastAsia="Times New Roman" w:hAnsi="Arial" w:cs="Arial"/>
                <w:bCs w:val="0"/>
                <w:i/>
                <w:iCs/>
                <w:color w:val="FF00FF"/>
                <w:sz w:val="20"/>
                <w:szCs w:val="20"/>
                <w:lang w:eastAsia="cs-CZ"/>
              </w:rPr>
              <w:t xml:space="preserve"> a v časopise Práce a mzda. Kolegium expertů AKV bude k jednotlivým výkladovým problémům postupně zaujímat stanoviska, která budou publikována stejným způsobem. Jde o názory odborníků, které AKV sdružuje, a jež nelze pochopitelně považovat za jediné možné. Proto bude AKV usilovat o to, aby v případech, v nichž je v tomto dokumentu považována za potřebnou novelizace příslušných ustanovení, k ní bylo přikročeno.</w:t>
            </w:r>
          </w:p>
        </w:tc>
      </w:tr>
      <w:tr w:rsidR="004910E8" w:rsidRPr="004910E8">
        <w:trPr>
          <w:tblCellSpacing w:w="0" w:type="dxa"/>
        </w:trPr>
        <w:tc>
          <w:tcPr>
            <w:tcW w:w="0" w:type="auto"/>
            <w:vAlign w:val="center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4910E8" w:rsidRPr="004910E8" w:rsidRDefault="004910E8" w:rsidP="0049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cs-CZ"/>
              </w:rPr>
            </w:pPr>
            <w:r w:rsidRPr="004910E8">
              <w:rPr>
                <w:rFonts w:ascii="Arial" w:eastAsia="Times New Roman" w:hAnsi="Arial" w:cs="Arial"/>
                <w:bCs w:val="0"/>
                <w:i/>
                <w:iCs/>
                <w:color w:val="FF00FF"/>
                <w:sz w:val="20"/>
                <w:szCs w:val="20"/>
                <w:lang w:eastAsia="cs-CZ"/>
              </w:rPr>
              <w:t>KE AKV dne 3. 4. 2001 odsouhlasilo rozšíření okruhu výkladových problémů o body k §65/3, §84/2, §85a, §85/1 a §85/3 - viz výše</w:t>
            </w:r>
          </w:p>
        </w:tc>
      </w:tr>
    </w:tbl>
    <w:p w:rsidR="004910E8" w:rsidRPr="004910E8" w:rsidRDefault="004910E8" w:rsidP="004910E8">
      <w:pPr>
        <w:spacing w:before="100" w:beforeAutospacing="1" w:after="100" w:afterAutospacing="1" w:line="240" w:lineRule="auto"/>
        <w:rPr>
          <w:rFonts w:ascii="Arial" w:eastAsia="Times New Roman" w:hAnsi="Arial" w:cs="Arial"/>
          <w:bCs w:val="0"/>
          <w:sz w:val="20"/>
          <w:szCs w:val="20"/>
          <w:lang w:eastAsia="cs-CZ"/>
        </w:rPr>
      </w:pPr>
      <w:r w:rsidRPr="004910E8">
        <w:rPr>
          <w:rFonts w:ascii="Arial" w:eastAsia="Times New Roman" w:hAnsi="Arial" w:cs="Arial"/>
          <w:bCs w:val="0"/>
          <w:sz w:val="20"/>
          <w:szCs w:val="20"/>
          <w:lang w:eastAsia="cs-CZ"/>
        </w:rPr>
        <w:t>Za AKV :JUDr. Bořivoj Š u b r t, předseda</w:t>
      </w:r>
    </w:p>
    <w:p w:rsidR="00B646D8" w:rsidRDefault="004910E8" w:rsidP="004910E8">
      <w:pPr>
        <w:spacing w:before="100" w:beforeAutospacing="1" w:after="100" w:afterAutospacing="1" w:line="240" w:lineRule="auto"/>
      </w:pPr>
      <w:r w:rsidRPr="004910E8">
        <w:rPr>
          <w:rFonts w:ascii="Times New Roman" w:eastAsia="Times New Roman" w:hAnsi="Times New Roman" w:cs="Times New Roman"/>
          <w:bCs w:val="0"/>
          <w:sz w:val="24"/>
          <w:szCs w:val="24"/>
          <w:lang w:eastAsia="cs-CZ"/>
        </w:rPr>
        <w:t> </w:t>
      </w:r>
      <w:bookmarkStart w:id="2" w:name="_GoBack"/>
      <w:bookmarkEnd w:id="2"/>
    </w:p>
    <w:sectPr w:rsidR="00B6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3EC3"/>
    <w:multiLevelType w:val="multilevel"/>
    <w:tmpl w:val="E71481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E8"/>
    <w:rsid w:val="00290FF0"/>
    <w:rsid w:val="004910E8"/>
    <w:rsid w:val="009B2022"/>
    <w:rsid w:val="009C0DF6"/>
    <w:rsid w:val="00B6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b/>
        <w:bCs/>
        <w:color w:val="365F91" w:themeColor="accent1" w:themeShade="BF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0DF6"/>
    <w:rPr>
      <w:b w:val="0"/>
      <w:color w:val="auto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90FF0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 w:val="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90FF0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 w:val="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0FF0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0FF0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0FF0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0FF0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0FF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KURZY">
    <w:name w:val="Nadpis1_KURZY"/>
    <w:basedOn w:val="Nadpis1"/>
    <w:link w:val="Nadpis1KURZYChar"/>
    <w:autoRedefine/>
    <w:qFormat/>
    <w:rsid w:val="009B2022"/>
    <w:pPr>
      <w:numPr>
        <w:numId w:val="0"/>
      </w:numPr>
    </w:pPr>
    <w:rPr>
      <w:b w:val="0"/>
    </w:rPr>
  </w:style>
  <w:style w:type="character" w:customStyle="1" w:styleId="Nadpis1KURZYChar">
    <w:name w:val="Nadpis1_KURZY Char"/>
    <w:basedOn w:val="Nadpis1Char"/>
    <w:link w:val="Nadpis1KURZY"/>
    <w:rsid w:val="009B2022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90FF0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90FF0"/>
    <w:rPr>
      <w:rFonts w:asciiTheme="majorHAnsi" w:eastAsiaTheme="majorEastAsia" w:hAnsiTheme="majorHAnsi" w:cstheme="majorBidi"/>
      <w:b w:val="0"/>
      <w:bCs w:val="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0F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0F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0F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0F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0F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4910E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9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910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b/>
        <w:bCs/>
        <w:color w:val="365F91" w:themeColor="accent1" w:themeShade="BF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0DF6"/>
    <w:rPr>
      <w:b w:val="0"/>
      <w:color w:val="auto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90FF0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 w:val="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90FF0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 w:val="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0FF0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0FF0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0FF0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0FF0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0FF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KURZY">
    <w:name w:val="Nadpis1_KURZY"/>
    <w:basedOn w:val="Nadpis1"/>
    <w:link w:val="Nadpis1KURZYChar"/>
    <w:autoRedefine/>
    <w:qFormat/>
    <w:rsid w:val="009B2022"/>
    <w:pPr>
      <w:numPr>
        <w:numId w:val="0"/>
      </w:numPr>
    </w:pPr>
    <w:rPr>
      <w:b w:val="0"/>
    </w:rPr>
  </w:style>
  <w:style w:type="character" w:customStyle="1" w:styleId="Nadpis1KURZYChar">
    <w:name w:val="Nadpis1_KURZY Char"/>
    <w:basedOn w:val="Nadpis1Char"/>
    <w:link w:val="Nadpis1KURZY"/>
    <w:rsid w:val="009B2022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90FF0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90FF0"/>
    <w:rPr>
      <w:rFonts w:asciiTheme="majorHAnsi" w:eastAsiaTheme="majorEastAsia" w:hAnsiTheme="majorHAnsi" w:cstheme="majorBidi"/>
      <w:b w:val="0"/>
      <w:bCs w:val="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0F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0F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0F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0F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0F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4910E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9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910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ny.cz/akv/ke4.htm" TargetMode="External"/><Relationship Id="rId13" Type="http://schemas.openxmlformats.org/officeDocument/2006/relationships/hyperlink" Target="http://www.volny.cz/akv/ke1.htm" TargetMode="External"/><Relationship Id="rId18" Type="http://schemas.openxmlformats.org/officeDocument/2006/relationships/hyperlink" Target="http://www.volny.cz/akv/ke1.ht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volny.cz/akv/ke1.htm" TargetMode="External"/><Relationship Id="rId7" Type="http://schemas.openxmlformats.org/officeDocument/2006/relationships/hyperlink" Target="http://www.volny.cz/akv/ke4.htm" TargetMode="External"/><Relationship Id="rId12" Type="http://schemas.openxmlformats.org/officeDocument/2006/relationships/hyperlink" Target="http://www.volny.cz/akv/ke1.htm" TargetMode="External"/><Relationship Id="rId17" Type="http://schemas.openxmlformats.org/officeDocument/2006/relationships/hyperlink" Target="http://www.volny.cz/akv/ke1.htm" TargetMode="External"/><Relationship Id="rId25" Type="http://schemas.openxmlformats.org/officeDocument/2006/relationships/hyperlink" Target="http://www.volny.cz/ak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olny.cz/akv/ke1.htm" TargetMode="External"/><Relationship Id="rId20" Type="http://schemas.openxmlformats.org/officeDocument/2006/relationships/hyperlink" Target="http://www.volny.cz/akv/ke1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olny.cz/akv/ke4.htm" TargetMode="External"/><Relationship Id="rId11" Type="http://schemas.openxmlformats.org/officeDocument/2006/relationships/hyperlink" Target="http://www.volny.cz/akv/ke4.htm" TargetMode="External"/><Relationship Id="rId24" Type="http://schemas.openxmlformats.org/officeDocument/2006/relationships/hyperlink" Target="http://www.volny.cz/akv/ke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olny.cz/akv/ke1.htm" TargetMode="External"/><Relationship Id="rId23" Type="http://schemas.openxmlformats.org/officeDocument/2006/relationships/hyperlink" Target="http://www.volny.cz/akv/ke1.htm" TargetMode="External"/><Relationship Id="rId10" Type="http://schemas.openxmlformats.org/officeDocument/2006/relationships/hyperlink" Target="http://www.volny.cz/akv/ke4.htm" TargetMode="External"/><Relationship Id="rId19" Type="http://schemas.openxmlformats.org/officeDocument/2006/relationships/hyperlink" Target="http://www.volny.cz/akv/ke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lny.cz/akv/ke4.htm" TargetMode="External"/><Relationship Id="rId14" Type="http://schemas.openxmlformats.org/officeDocument/2006/relationships/hyperlink" Target="http://www.volny.cz/akv/ke1.htm" TargetMode="External"/><Relationship Id="rId22" Type="http://schemas.openxmlformats.org/officeDocument/2006/relationships/hyperlink" Target="http://www.volny.cz/akv/ke1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9458</Characters>
  <Application>Microsoft Office Word</Application>
  <DocSecurity>0</DocSecurity>
  <Lines>78</Lines>
  <Paragraphs>22</Paragraphs>
  <ScaleCrop>false</ScaleCrop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mareknb</dc:creator>
  <cp:lastModifiedBy>mareknb</cp:lastModifiedBy>
  <cp:revision>1</cp:revision>
  <dcterms:created xsi:type="dcterms:W3CDTF">2013-08-22T10:08:00Z</dcterms:created>
  <dcterms:modified xsi:type="dcterms:W3CDTF">2013-08-22T10:09:00Z</dcterms:modified>
</cp:coreProperties>
</file>