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7AA" w:rsidRDefault="007127AA" w:rsidP="007127AA">
      <w:pPr>
        <w:jc w:val="center"/>
        <w:rPr>
          <w:rFonts w:ascii="Arial" w:hAnsi="Arial" w:cs="Arial"/>
        </w:rPr>
      </w:pPr>
      <w:r>
        <w:rPr>
          <w:rFonts w:ascii="Arial" w:hAnsi="Arial" w:cs="Arial"/>
          <w:noProof/>
        </w:rPr>
        <w:drawing>
          <wp:inline distT="0" distB="0" distL="0" distR="0">
            <wp:extent cx="1381125" cy="10096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1009650"/>
                    </a:xfrm>
                    <a:prstGeom prst="rect">
                      <a:avLst/>
                    </a:prstGeom>
                    <a:noFill/>
                    <a:ln>
                      <a:noFill/>
                    </a:ln>
                  </pic:spPr>
                </pic:pic>
              </a:graphicData>
            </a:graphic>
          </wp:inline>
        </w:drawing>
      </w:r>
    </w:p>
    <w:p w:rsidR="007127AA" w:rsidRDefault="007127AA" w:rsidP="007127AA">
      <w:pPr>
        <w:jc w:val="center"/>
        <w:rPr>
          <w:rFonts w:ascii="Arial" w:hAnsi="Arial" w:cs="Arial"/>
        </w:rPr>
      </w:pPr>
    </w:p>
    <w:p w:rsidR="007127AA" w:rsidRDefault="007127AA" w:rsidP="007127AA">
      <w:pPr>
        <w:jc w:val="center"/>
        <w:rPr>
          <w:rFonts w:ascii="Arial" w:hAnsi="Arial" w:cs="Arial"/>
          <w:b/>
          <w:bCs/>
        </w:rPr>
      </w:pPr>
      <w:r>
        <w:rPr>
          <w:rFonts w:ascii="Arial" w:hAnsi="Arial" w:cs="Arial"/>
          <w:b/>
          <w:bCs/>
        </w:rPr>
        <w:t>Asociace pro rozvoj kolektivního vyjednávání a pracovních vztahů</w:t>
      </w:r>
    </w:p>
    <w:p w:rsidR="007127AA" w:rsidRDefault="007127AA" w:rsidP="007127AA">
      <w:pPr>
        <w:jc w:val="center"/>
        <w:rPr>
          <w:rFonts w:ascii="Arial" w:hAnsi="Arial" w:cs="Arial"/>
          <w:b/>
          <w:bCs/>
        </w:rPr>
      </w:pPr>
      <w:r>
        <w:rPr>
          <w:rFonts w:ascii="Arial" w:hAnsi="Arial" w:cs="Arial"/>
          <w:b/>
          <w:bCs/>
        </w:rPr>
        <w:t>Nám. W. Churchilla 2</w:t>
      </w:r>
    </w:p>
    <w:p w:rsidR="007127AA" w:rsidRDefault="007127AA" w:rsidP="007127AA">
      <w:pPr>
        <w:pBdr>
          <w:bottom w:val="single" w:sz="12" w:space="1" w:color="auto"/>
        </w:pBdr>
        <w:jc w:val="center"/>
        <w:rPr>
          <w:rFonts w:ascii="Arial" w:hAnsi="Arial" w:cs="Arial"/>
        </w:rPr>
      </w:pPr>
      <w:r>
        <w:rPr>
          <w:rFonts w:ascii="Arial" w:hAnsi="Arial" w:cs="Arial"/>
          <w:b/>
          <w:bCs/>
        </w:rPr>
        <w:t>113 59 Praha 3</w:t>
      </w:r>
    </w:p>
    <w:p w:rsidR="007127AA" w:rsidRDefault="007127AA" w:rsidP="007127AA">
      <w:pPr>
        <w:jc w:val="center"/>
        <w:rPr>
          <w:rFonts w:ascii="Arial" w:hAnsi="Arial" w:cs="Arial"/>
        </w:rPr>
      </w:pPr>
    </w:p>
    <w:p w:rsidR="007127AA" w:rsidRDefault="007127AA" w:rsidP="007127AA">
      <w:pPr>
        <w:jc w:val="center"/>
        <w:rPr>
          <w:rFonts w:ascii="Arial" w:hAnsi="Arial" w:cs="Arial"/>
        </w:rPr>
      </w:pPr>
    </w:p>
    <w:p w:rsidR="007127AA" w:rsidRDefault="007127AA" w:rsidP="007127AA">
      <w:pPr>
        <w:jc w:val="center"/>
        <w:rPr>
          <w:rFonts w:ascii="Arial" w:hAnsi="Arial" w:cs="Arial"/>
        </w:rPr>
      </w:pPr>
    </w:p>
    <w:p w:rsidR="007127AA" w:rsidRDefault="007127AA" w:rsidP="007127AA">
      <w:pPr>
        <w:pStyle w:val="Nadpis1"/>
        <w:rPr>
          <w:rFonts w:eastAsiaTheme="minorEastAsia"/>
        </w:rPr>
      </w:pPr>
      <w:r>
        <w:rPr>
          <w:rFonts w:eastAsiaTheme="minorEastAsia"/>
        </w:rPr>
        <w:t>P ř i p o m í n k y</w:t>
      </w:r>
    </w:p>
    <w:p w:rsidR="007127AA" w:rsidRDefault="007127AA" w:rsidP="007127AA">
      <w:pPr>
        <w:jc w:val="center"/>
        <w:rPr>
          <w:rFonts w:ascii="Arial" w:hAnsi="Arial" w:cs="Arial"/>
          <w:b/>
          <w:bCs/>
        </w:rPr>
      </w:pPr>
    </w:p>
    <w:p w:rsidR="0019008E" w:rsidRDefault="007127AA" w:rsidP="007127AA">
      <w:pPr>
        <w:jc w:val="center"/>
        <w:rPr>
          <w:rFonts w:ascii="Arial" w:hAnsi="Arial" w:cs="Arial"/>
          <w:b/>
          <w:bCs/>
          <w:noProof/>
        </w:rPr>
      </w:pPr>
      <w:r>
        <w:rPr>
          <w:rFonts w:ascii="Arial" w:hAnsi="Arial" w:cs="Arial"/>
          <w:b/>
          <w:bCs/>
        </w:rPr>
        <w:t>k návrhu zákona,</w:t>
      </w:r>
      <w:r>
        <w:rPr>
          <w:rFonts w:ascii="Arial" w:hAnsi="Arial" w:cs="Arial"/>
        </w:rPr>
        <w:t xml:space="preserve"> </w:t>
      </w:r>
      <w:r>
        <w:rPr>
          <w:rFonts w:ascii="Arial" w:hAnsi="Arial" w:cs="Arial"/>
          <w:b/>
          <w:bCs/>
          <w:noProof/>
        </w:rPr>
        <w:t>kterým</w:t>
      </w:r>
      <w:r w:rsidR="0019008E">
        <w:rPr>
          <w:rFonts w:ascii="Arial" w:hAnsi="Arial" w:cs="Arial"/>
          <w:b/>
          <w:bCs/>
          <w:noProof/>
        </w:rPr>
        <w:t xml:space="preserve"> se mění zákon č. 435/2004 Sb.,</w:t>
      </w:r>
    </w:p>
    <w:p w:rsidR="0019008E" w:rsidRDefault="0019008E" w:rsidP="007127AA">
      <w:pPr>
        <w:jc w:val="center"/>
        <w:rPr>
          <w:rFonts w:ascii="Arial" w:hAnsi="Arial" w:cs="Arial"/>
          <w:b/>
          <w:bCs/>
          <w:noProof/>
        </w:rPr>
      </w:pPr>
      <w:r>
        <w:rPr>
          <w:rFonts w:ascii="Arial" w:hAnsi="Arial" w:cs="Arial"/>
          <w:b/>
          <w:bCs/>
          <w:noProof/>
        </w:rPr>
        <w:t>o zaměstnanosti, ve znění pozdějších předpisů</w:t>
      </w:r>
    </w:p>
    <w:p w:rsidR="0019008E" w:rsidRDefault="0019008E" w:rsidP="007127AA">
      <w:pPr>
        <w:jc w:val="center"/>
        <w:rPr>
          <w:rFonts w:ascii="Arial" w:hAnsi="Arial" w:cs="Arial"/>
          <w:b/>
          <w:bCs/>
          <w:noProof/>
        </w:rPr>
      </w:pPr>
    </w:p>
    <w:p w:rsidR="0019008E" w:rsidRDefault="0019008E" w:rsidP="007127AA">
      <w:pPr>
        <w:jc w:val="center"/>
        <w:rPr>
          <w:rFonts w:ascii="Arial" w:hAnsi="Arial" w:cs="Arial"/>
          <w:b/>
          <w:bCs/>
          <w:noProof/>
        </w:rPr>
      </w:pPr>
    </w:p>
    <w:p w:rsidR="0019008E" w:rsidRDefault="0019008E" w:rsidP="007127AA">
      <w:pPr>
        <w:jc w:val="center"/>
        <w:rPr>
          <w:rFonts w:ascii="Arial" w:hAnsi="Arial" w:cs="Arial"/>
          <w:b/>
          <w:bCs/>
          <w:noProof/>
        </w:rPr>
      </w:pPr>
    </w:p>
    <w:p w:rsidR="0019008E" w:rsidRDefault="0019008E" w:rsidP="007127AA">
      <w:pPr>
        <w:jc w:val="center"/>
        <w:rPr>
          <w:rFonts w:ascii="Arial" w:hAnsi="Arial" w:cs="Arial"/>
          <w:b/>
          <w:bCs/>
          <w:noProof/>
        </w:rPr>
      </w:pPr>
    </w:p>
    <w:p w:rsidR="007127AA" w:rsidRDefault="0019008E" w:rsidP="0019008E">
      <w:pPr>
        <w:jc w:val="both"/>
        <w:rPr>
          <w:rFonts w:ascii="Arial" w:hAnsi="Arial" w:cs="Arial"/>
          <w:bCs/>
          <w:noProof/>
          <w:sz w:val="22"/>
          <w:szCs w:val="22"/>
        </w:rPr>
      </w:pPr>
      <w:r>
        <w:rPr>
          <w:rFonts w:ascii="Arial" w:hAnsi="Arial" w:cs="Arial"/>
          <w:b/>
          <w:bCs/>
          <w:noProof/>
        </w:rPr>
        <w:t>I. Obecně</w:t>
      </w:r>
      <w:r w:rsidR="007127AA">
        <w:rPr>
          <w:rFonts w:ascii="Arial" w:hAnsi="Arial" w:cs="Arial"/>
          <w:b/>
          <w:bCs/>
          <w:noProof/>
        </w:rPr>
        <w:t xml:space="preserve"> </w:t>
      </w:r>
    </w:p>
    <w:p w:rsidR="0019008E" w:rsidRDefault="0019008E" w:rsidP="0019008E">
      <w:pPr>
        <w:jc w:val="both"/>
        <w:rPr>
          <w:rFonts w:ascii="Arial" w:hAnsi="Arial" w:cs="Arial"/>
          <w:bCs/>
          <w:noProof/>
          <w:sz w:val="22"/>
          <w:szCs w:val="22"/>
        </w:rPr>
      </w:pPr>
    </w:p>
    <w:p w:rsidR="0019008E" w:rsidRDefault="0019008E" w:rsidP="0019008E">
      <w:pPr>
        <w:jc w:val="both"/>
        <w:rPr>
          <w:rFonts w:ascii="Arial" w:hAnsi="Arial" w:cs="Arial"/>
          <w:bCs/>
          <w:noProof/>
          <w:sz w:val="22"/>
          <w:szCs w:val="22"/>
        </w:rPr>
      </w:pPr>
      <w:r>
        <w:rPr>
          <w:rFonts w:ascii="Arial" w:hAnsi="Arial" w:cs="Arial"/>
          <w:bCs/>
          <w:noProof/>
          <w:sz w:val="22"/>
          <w:szCs w:val="22"/>
        </w:rPr>
        <w:tab/>
        <w:t>AKV předložený návrh vítá.</w:t>
      </w:r>
    </w:p>
    <w:p w:rsidR="0019008E" w:rsidRDefault="0019008E" w:rsidP="0019008E">
      <w:pPr>
        <w:jc w:val="both"/>
        <w:rPr>
          <w:rFonts w:ascii="Arial" w:hAnsi="Arial" w:cs="Arial"/>
          <w:bCs/>
          <w:noProof/>
          <w:sz w:val="22"/>
          <w:szCs w:val="22"/>
        </w:rPr>
      </w:pPr>
    </w:p>
    <w:p w:rsidR="0019008E" w:rsidRDefault="0019008E" w:rsidP="0019008E">
      <w:pPr>
        <w:jc w:val="both"/>
        <w:rPr>
          <w:rFonts w:ascii="Arial" w:hAnsi="Arial" w:cs="Arial"/>
          <w:bCs/>
          <w:noProof/>
          <w:sz w:val="22"/>
          <w:szCs w:val="22"/>
        </w:rPr>
      </w:pPr>
    </w:p>
    <w:p w:rsidR="0019008E" w:rsidRDefault="0019008E" w:rsidP="0019008E">
      <w:pPr>
        <w:jc w:val="both"/>
        <w:rPr>
          <w:rFonts w:ascii="Arial" w:hAnsi="Arial" w:cs="Arial"/>
          <w:bCs/>
          <w:noProof/>
          <w:sz w:val="22"/>
          <w:szCs w:val="22"/>
        </w:rPr>
      </w:pPr>
    </w:p>
    <w:p w:rsidR="0019008E" w:rsidRPr="0019008E" w:rsidRDefault="0019008E" w:rsidP="0019008E">
      <w:pPr>
        <w:jc w:val="both"/>
        <w:rPr>
          <w:rFonts w:ascii="Arial" w:hAnsi="Arial" w:cs="Arial"/>
          <w:b/>
          <w:bCs/>
          <w:noProof/>
        </w:rPr>
      </w:pPr>
      <w:r w:rsidRPr="0019008E">
        <w:rPr>
          <w:rFonts w:ascii="Arial" w:hAnsi="Arial" w:cs="Arial"/>
          <w:b/>
          <w:bCs/>
          <w:noProof/>
        </w:rPr>
        <w:t>II. K předloženým návrhům</w:t>
      </w:r>
    </w:p>
    <w:p w:rsidR="003A249F" w:rsidRDefault="003A249F">
      <w:pPr>
        <w:rPr>
          <w:rFonts w:ascii="Arial" w:hAnsi="Arial" w:cs="Arial"/>
          <w:sz w:val="22"/>
          <w:szCs w:val="22"/>
        </w:rPr>
      </w:pPr>
    </w:p>
    <w:p w:rsidR="0019008E" w:rsidRDefault="0019008E">
      <w:pPr>
        <w:rPr>
          <w:rFonts w:ascii="Arial" w:hAnsi="Arial" w:cs="Arial"/>
          <w:sz w:val="22"/>
          <w:szCs w:val="22"/>
        </w:rPr>
      </w:pPr>
      <w:r>
        <w:rPr>
          <w:rFonts w:ascii="Arial" w:hAnsi="Arial" w:cs="Arial"/>
          <w:sz w:val="22"/>
          <w:szCs w:val="22"/>
        </w:rPr>
        <w:tab/>
        <w:t>AKV nemá žádné připomínky k</w:t>
      </w:r>
      <w:r w:rsidR="00476F20">
        <w:rPr>
          <w:rFonts w:ascii="Arial" w:hAnsi="Arial" w:cs="Arial"/>
          <w:sz w:val="22"/>
          <w:szCs w:val="22"/>
        </w:rPr>
        <w:t xml:space="preserve"> jednotlivým </w:t>
      </w:r>
      <w:r>
        <w:rPr>
          <w:rFonts w:ascii="Arial" w:hAnsi="Arial" w:cs="Arial"/>
          <w:sz w:val="22"/>
          <w:szCs w:val="22"/>
        </w:rPr>
        <w:t>předloženým návrhům.</w:t>
      </w:r>
    </w:p>
    <w:p w:rsidR="0019008E" w:rsidRDefault="0019008E">
      <w:pPr>
        <w:rPr>
          <w:rFonts w:ascii="Arial" w:hAnsi="Arial" w:cs="Arial"/>
          <w:sz w:val="22"/>
          <w:szCs w:val="22"/>
        </w:rPr>
      </w:pPr>
    </w:p>
    <w:p w:rsidR="0019008E" w:rsidRDefault="0019008E">
      <w:pPr>
        <w:rPr>
          <w:rFonts w:ascii="Arial" w:hAnsi="Arial" w:cs="Arial"/>
          <w:sz w:val="22"/>
          <w:szCs w:val="22"/>
        </w:rPr>
      </w:pPr>
    </w:p>
    <w:p w:rsidR="0019008E" w:rsidRDefault="0019008E">
      <w:pPr>
        <w:rPr>
          <w:rFonts w:ascii="Arial" w:hAnsi="Arial" w:cs="Arial"/>
          <w:sz w:val="22"/>
          <w:szCs w:val="22"/>
        </w:rPr>
      </w:pPr>
    </w:p>
    <w:p w:rsidR="0019008E" w:rsidRDefault="0019008E">
      <w:pPr>
        <w:rPr>
          <w:rFonts w:ascii="Arial" w:hAnsi="Arial" w:cs="Arial"/>
          <w:sz w:val="22"/>
          <w:szCs w:val="22"/>
        </w:rPr>
      </w:pPr>
      <w:r>
        <w:rPr>
          <w:rFonts w:ascii="Arial" w:hAnsi="Arial" w:cs="Arial"/>
          <w:b/>
        </w:rPr>
        <w:t>III. Další návrhy</w:t>
      </w:r>
      <w:r>
        <w:rPr>
          <w:rFonts w:ascii="Arial" w:hAnsi="Arial" w:cs="Arial"/>
          <w:sz w:val="22"/>
          <w:szCs w:val="22"/>
        </w:rPr>
        <w:t xml:space="preserve"> – jako </w:t>
      </w:r>
      <w:r w:rsidR="00476F20">
        <w:rPr>
          <w:rFonts w:ascii="Arial" w:hAnsi="Arial" w:cs="Arial"/>
          <w:sz w:val="22"/>
          <w:szCs w:val="22"/>
        </w:rPr>
        <w:t>další</w:t>
      </w:r>
      <w:r>
        <w:rPr>
          <w:rFonts w:ascii="Arial" w:hAnsi="Arial" w:cs="Arial"/>
          <w:sz w:val="22"/>
          <w:szCs w:val="22"/>
        </w:rPr>
        <w:t xml:space="preserve"> body návrhu zákona navrhujeme </w:t>
      </w:r>
      <w:r w:rsidR="00476F20">
        <w:rPr>
          <w:rFonts w:ascii="Arial" w:hAnsi="Arial" w:cs="Arial"/>
          <w:sz w:val="22"/>
          <w:szCs w:val="22"/>
        </w:rPr>
        <w:t>vložit</w:t>
      </w:r>
      <w:r>
        <w:rPr>
          <w:rFonts w:ascii="Arial" w:hAnsi="Arial" w:cs="Arial"/>
          <w:sz w:val="22"/>
          <w:szCs w:val="22"/>
        </w:rPr>
        <w:t>:</w:t>
      </w:r>
    </w:p>
    <w:p w:rsidR="0019008E" w:rsidRDefault="0019008E">
      <w:pPr>
        <w:rPr>
          <w:rFonts w:ascii="Arial" w:hAnsi="Arial" w:cs="Arial"/>
          <w:sz w:val="22"/>
          <w:szCs w:val="22"/>
        </w:rPr>
      </w:pPr>
    </w:p>
    <w:p w:rsidR="00F10657" w:rsidRPr="00F10657" w:rsidRDefault="0019008E" w:rsidP="0019008E">
      <w:pPr>
        <w:pStyle w:val="Odstavecseseznamem"/>
        <w:numPr>
          <w:ilvl w:val="0"/>
          <w:numId w:val="1"/>
        </w:numPr>
        <w:jc w:val="both"/>
        <w:rPr>
          <w:rFonts w:ascii="Arial" w:hAnsi="Arial" w:cs="Arial"/>
          <w:b/>
          <w:sz w:val="22"/>
          <w:szCs w:val="22"/>
        </w:rPr>
      </w:pPr>
      <w:r w:rsidRPr="0019008E">
        <w:rPr>
          <w:rFonts w:ascii="Arial" w:hAnsi="Arial" w:cs="Arial"/>
          <w:b/>
          <w:sz w:val="22"/>
          <w:szCs w:val="22"/>
        </w:rPr>
        <w:t>V § 5 písm. e</w:t>
      </w:r>
      <w:r w:rsidR="00A265EA">
        <w:rPr>
          <w:rFonts w:ascii="Arial" w:hAnsi="Arial" w:cs="Arial"/>
          <w:b/>
          <w:sz w:val="22"/>
          <w:szCs w:val="22"/>
        </w:rPr>
        <w:t>)</w:t>
      </w:r>
      <w:r>
        <w:rPr>
          <w:rFonts w:ascii="Arial" w:hAnsi="Arial" w:cs="Arial"/>
          <w:sz w:val="22"/>
          <w:szCs w:val="22"/>
        </w:rPr>
        <w:t xml:space="preserve"> bod 1 zní: </w:t>
      </w:r>
    </w:p>
    <w:p w:rsidR="0019008E" w:rsidRDefault="0019008E" w:rsidP="00F10657">
      <w:pPr>
        <w:pStyle w:val="Odstavecseseznamem"/>
        <w:ind w:left="360"/>
        <w:jc w:val="both"/>
        <w:rPr>
          <w:rFonts w:ascii="Arial" w:hAnsi="Arial" w:cs="Arial"/>
          <w:b/>
          <w:sz w:val="22"/>
          <w:szCs w:val="22"/>
        </w:rPr>
      </w:pPr>
      <w:r>
        <w:rPr>
          <w:rFonts w:ascii="Arial" w:hAnsi="Arial" w:cs="Arial"/>
          <w:b/>
          <w:sz w:val="22"/>
          <w:szCs w:val="22"/>
        </w:rPr>
        <w:t xml:space="preserve">„1. </w:t>
      </w:r>
      <w:r w:rsidR="00476F20">
        <w:rPr>
          <w:rFonts w:ascii="Arial" w:hAnsi="Arial" w:cs="Arial"/>
          <w:b/>
          <w:sz w:val="22"/>
          <w:szCs w:val="22"/>
        </w:rPr>
        <w:t>v</w:t>
      </w:r>
      <w:r>
        <w:rPr>
          <w:rFonts w:ascii="Arial" w:hAnsi="Arial" w:cs="Arial"/>
          <w:b/>
          <w:sz w:val="22"/>
          <w:szCs w:val="22"/>
        </w:rPr>
        <w:t>ýkon závislé práce</w:t>
      </w:r>
      <w:r>
        <w:rPr>
          <w:rFonts w:ascii="Arial" w:hAnsi="Arial" w:cs="Arial"/>
          <w:b/>
          <w:sz w:val="22"/>
          <w:szCs w:val="22"/>
          <w:vertAlign w:val="superscript"/>
        </w:rPr>
        <w:t>81)</w:t>
      </w:r>
      <w:r>
        <w:rPr>
          <w:rFonts w:ascii="Arial" w:hAnsi="Arial" w:cs="Arial"/>
          <w:b/>
          <w:sz w:val="22"/>
          <w:szCs w:val="22"/>
        </w:rPr>
        <w:t xml:space="preserve"> fyzickou osobou mimo pracovněprávní vztah</w:t>
      </w:r>
      <w:r>
        <w:rPr>
          <w:rFonts w:ascii="Arial" w:hAnsi="Arial" w:cs="Arial"/>
          <w:b/>
          <w:sz w:val="22"/>
          <w:szCs w:val="22"/>
          <w:vertAlign w:val="superscript"/>
        </w:rPr>
        <w:t>82)</w:t>
      </w:r>
      <w:r>
        <w:rPr>
          <w:rFonts w:ascii="Arial" w:hAnsi="Arial" w:cs="Arial"/>
          <w:b/>
          <w:sz w:val="22"/>
          <w:szCs w:val="22"/>
        </w:rPr>
        <w:t>, nejde-li o manžela, registrovaného partnera, rodiče, prarodiče, dítě, vnuka nebo sourozence této fyzické osoby, nebo“</w:t>
      </w:r>
    </w:p>
    <w:p w:rsidR="0019008E" w:rsidRDefault="0019008E" w:rsidP="0019008E">
      <w:pPr>
        <w:jc w:val="both"/>
        <w:rPr>
          <w:rFonts w:ascii="Arial" w:hAnsi="Arial" w:cs="Arial"/>
          <w:sz w:val="22"/>
          <w:szCs w:val="22"/>
        </w:rPr>
      </w:pPr>
      <w:r>
        <w:rPr>
          <w:rFonts w:ascii="Arial" w:hAnsi="Arial" w:cs="Arial"/>
          <w:sz w:val="22"/>
          <w:szCs w:val="22"/>
          <w:u w:val="single"/>
        </w:rPr>
        <w:t>Odůvodnění:</w:t>
      </w:r>
      <w:r>
        <w:rPr>
          <w:rFonts w:ascii="Arial" w:hAnsi="Arial" w:cs="Arial"/>
          <w:sz w:val="22"/>
          <w:szCs w:val="22"/>
        </w:rPr>
        <w:t xml:space="preserve"> Považujeme za nezbytné vyloučit posuzování závislé – a tudíž i nelegální – práce u nejbližších rodinných příslušníků. Při účasti na podnikání některé z nich ze strany členů rodiny jde o vztahy </w:t>
      </w:r>
      <w:proofErr w:type="spellStart"/>
      <w:r>
        <w:rPr>
          <w:rFonts w:ascii="Arial" w:hAnsi="Arial" w:cs="Arial"/>
          <w:sz w:val="22"/>
          <w:szCs w:val="22"/>
        </w:rPr>
        <w:t>rodinněprávní</w:t>
      </w:r>
      <w:proofErr w:type="spellEnd"/>
      <w:r>
        <w:rPr>
          <w:rFonts w:ascii="Arial" w:hAnsi="Arial" w:cs="Arial"/>
          <w:sz w:val="22"/>
          <w:szCs w:val="22"/>
        </w:rPr>
        <w:t xml:space="preserve">, nikoliv pracovněprávní (navíc mezi manželi nebo registrovanými partnery nemůže </w:t>
      </w:r>
      <w:r w:rsidR="00476F20">
        <w:rPr>
          <w:rFonts w:ascii="Arial" w:hAnsi="Arial" w:cs="Arial"/>
          <w:sz w:val="22"/>
          <w:szCs w:val="22"/>
        </w:rPr>
        <w:t xml:space="preserve">vůbec </w:t>
      </w:r>
      <w:r>
        <w:rPr>
          <w:rFonts w:ascii="Arial" w:hAnsi="Arial" w:cs="Arial"/>
          <w:sz w:val="22"/>
          <w:szCs w:val="22"/>
        </w:rPr>
        <w:t xml:space="preserve">být základní pracovněprávní vztah, a to dle § 318 zákoníku práce). Výčet rodinných příslušníků navrhujeme vymezit úžeji, než jak je tomu v právní úpravě rodinného závodu podle </w:t>
      </w:r>
      <w:proofErr w:type="spellStart"/>
      <w:r>
        <w:rPr>
          <w:rFonts w:ascii="Arial" w:hAnsi="Arial" w:cs="Arial"/>
          <w:sz w:val="22"/>
          <w:szCs w:val="22"/>
        </w:rPr>
        <w:t>ust</w:t>
      </w:r>
      <w:proofErr w:type="spellEnd"/>
      <w:r>
        <w:rPr>
          <w:rFonts w:ascii="Arial" w:hAnsi="Arial" w:cs="Arial"/>
          <w:sz w:val="22"/>
          <w:szCs w:val="22"/>
        </w:rPr>
        <w:t>. § 700 až 707 nového občanského zákoníku.</w:t>
      </w:r>
      <w:r w:rsidR="004E2AC4">
        <w:rPr>
          <w:rFonts w:ascii="Arial" w:hAnsi="Arial" w:cs="Arial"/>
          <w:sz w:val="22"/>
          <w:szCs w:val="22"/>
        </w:rPr>
        <w:t xml:space="preserve"> Tato záležitost ale bezpochyby může být předmětem dalšího zvážení, i když úprava v občanském zákoníku se nezabývá závislou prací. Jde o to, aby česká právní úprava odpovídala běžně uplatňovaným standardům při podnikání členů rodiny, jak je to obvyklé všude ve svět</w:t>
      </w:r>
      <w:r w:rsidR="00476F20">
        <w:rPr>
          <w:rFonts w:ascii="Arial" w:hAnsi="Arial" w:cs="Arial"/>
          <w:sz w:val="22"/>
          <w:szCs w:val="22"/>
        </w:rPr>
        <w:t>ě</w:t>
      </w:r>
      <w:r w:rsidR="004E2AC4">
        <w:rPr>
          <w:rFonts w:ascii="Arial" w:hAnsi="Arial" w:cs="Arial"/>
          <w:sz w:val="22"/>
          <w:szCs w:val="22"/>
        </w:rPr>
        <w:t>.</w:t>
      </w:r>
    </w:p>
    <w:p w:rsidR="0019008E" w:rsidRDefault="0019008E" w:rsidP="0019008E">
      <w:pPr>
        <w:jc w:val="both"/>
        <w:rPr>
          <w:rFonts w:ascii="Arial" w:hAnsi="Arial" w:cs="Arial"/>
          <w:b/>
          <w:sz w:val="22"/>
          <w:szCs w:val="22"/>
        </w:rPr>
      </w:pPr>
      <w:r>
        <w:rPr>
          <w:rFonts w:ascii="Arial" w:hAnsi="Arial" w:cs="Arial"/>
          <w:b/>
          <w:sz w:val="22"/>
          <w:szCs w:val="22"/>
        </w:rPr>
        <w:t>Tato připomínka je zásadní.</w:t>
      </w:r>
    </w:p>
    <w:p w:rsidR="004E2AC4" w:rsidRDefault="004E2AC4" w:rsidP="0019008E">
      <w:pPr>
        <w:jc w:val="both"/>
        <w:rPr>
          <w:rFonts w:ascii="Arial" w:hAnsi="Arial" w:cs="Arial"/>
          <w:b/>
          <w:sz w:val="22"/>
          <w:szCs w:val="22"/>
        </w:rPr>
      </w:pPr>
    </w:p>
    <w:p w:rsidR="004E2AC4" w:rsidRDefault="004E2AC4" w:rsidP="004E2AC4">
      <w:pPr>
        <w:pStyle w:val="Odstavecseseznamem"/>
        <w:numPr>
          <w:ilvl w:val="0"/>
          <w:numId w:val="1"/>
        </w:numPr>
        <w:jc w:val="both"/>
        <w:rPr>
          <w:rFonts w:ascii="Arial" w:hAnsi="Arial" w:cs="Arial"/>
          <w:sz w:val="22"/>
          <w:szCs w:val="22"/>
        </w:rPr>
      </w:pPr>
      <w:r w:rsidRPr="004E2AC4">
        <w:rPr>
          <w:rFonts w:ascii="Arial" w:hAnsi="Arial" w:cs="Arial"/>
          <w:b/>
          <w:sz w:val="22"/>
          <w:szCs w:val="22"/>
        </w:rPr>
        <w:t>§ 44a a § 44b</w:t>
      </w:r>
      <w:r>
        <w:rPr>
          <w:rFonts w:ascii="Arial" w:hAnsi="Arial" w:cs="Arial"/>
          <w:sz w:val="22"/>
          <w:szCs w:val="22"/>
        </w:rPr>
        <w:t xml:space="preserve"> se zrušují.</w:t>
      </w:r>
    </w:p>
    <w:p w:rsidR="004E2AC4" w:rsidRDefault="004E2AC4" w:rsidP="004E2AC4">
      <w:pPr>
        <w:jc w:val="both"/>
        <w:rPr>
          <w:rFonts w:ascii="Arial" w:hAnsi="Arial" w:cs="Arial"/>
          <w:sz w:val="22"/>
          <w:szCs w:val="22"/>
        </w:rPr>
      </w:pPr>
      <w:r>
        <w:rPr>
          <w:rFonts w:ascii="Arial" w:hAnsi="Arial" w:cs="Arial"/>
          <w:sz w:val="22"/>
          <w:szCs w:val="22"/>
          <w:u w:val="single"/>
        </w:rPr>
        <w:lastRenderedPageBreak/>
        <w:t>Odůvodnění:</w:t>
      </w:r>
      <w:r>
        <w:rPr>
          <w:rFonts w:ascii="Arial" w:hAnsi="Arial" w:cs="Arial"/>
          <w:sz w:val="22"/>
          <w:szCs w:val="22"/>
        </w:rPr>
        <w:t xml:space="preserve"> Odložení začátku poskytování podpory v nezaměstnanosti až po uplynutí doby dané počtem násobků průměrného výdělku nebo průměrného měsíčního služebního příjmu, ze kterých byla odvozena minimální výše odstupného, odbytného nebo odchodného</w:t>
      </w:r>
      <w:r w:rsidR="00476F20">
        <w:rPr>
          <w:rFonts w:ascii="Arial" w:hAnsi="Arial" w:cs="Arial"/>
          <w:sz w:val="22"/>
          <w:szCs w:val="22"/>
        </w:rPr>
        <w:t>,</w:t>
      </w:r>
      <w:r>
        <w:rPr>
          <w:rFonts w:ascii="Arial" w:hAnsi="Arial" w:cs="Arial"/>
          <w:sz w:val="22"/>
          <w:szCs w:val="22"/>
        </w:rPr>
        <w:t xml:space="preserve"> mělo od roku 2012 přinést úsporu rozpočtových prostředků. Toto řešení vycházelo z nesprávné teze, že v takto dané době je uchazeč o zaměstnání finančně zajištěn odstupným, respektive odbytným či odchodným. Přitom tato plnění nejsou hmotným zabezpečením propuštěného zaměstnance, ale kompenzací za to, že zaměstnavatel nadále není schopen plnit svůj pracovní (služební) závazek. Protože se řada zaměstnanců, kterým vzniklo právo na odstupné, jeho výplaty nedočkala a neměla by ani nárok na podporu v nezaměstnanosti, přijal zákonodárce řešení, podle kterého má propuštěný zaměstnanec – uchazeč o zaměstnání, nárok obdržet od Úřadu práce tzv. kompenzaci. Tato vyplacená částka je pak Úřadem práce vymáhána po zaměstnavateli.</w:t>
      </w:r>
      <w:r w:rsidR="00A265EA">
        <w:rPr>
          <w:rFonts w:ascii="Arial" w:hAnsi="Arial" w:cs="Arial"/>
          <w:sz w:val="22"/>
          <w:szCs w:val="22"/>
        </w:rPr>
        <w:t xml:space="preserve"> V konečném důsledku je výsledná úspora státního rozpočtu z odkladu poskytování podpory v nezaměstnanosti neúměrná k složité byrokratické proceduře a výplatě kompenzace, která jakoukoliv úsporu významně relativizuje. Pokud bychom přiznali, že zavedení tohoto řešení bylo </w:t>
      </w:r>
      <w:r w:rsidR="00476F20">
        <w:rPr>
          <w:rFonts w:ascii="Arial" w:hAnsi="Arial" w:cs="Arial"/>
          <w:sz w:val="22"/>
          <w:szCs w:val="22"/>
        </w:rPr>
        <w:t xml:space="preserve">primárně </w:t>
      </w:r>
      <w:r w:rsidR="00A265EA">
        <w:rPr>
          <w:rFonts w:ascii="Arial" w:hAnsi="Arial" w:cs="Arial"/>
          <w:sz w:val="22"/>
          <w:szCs w:val="22"/>
        </w:rPr>
        <w:t>odůvodněno fiskálními zájmy státu, je třeba konstatovat, že z důvodu zlepšení ekonomické situace tyto důvody pominuly.</w:t>
      </w:r>
    </w:p>
    <w:p w:rsidR="00A265EA" w:rsidRDefault="00A265EA" w:rsidP="004E2AC4">
      <w:pPr>
        <w:jc w:val="both"/>
        <w:rPr>
          <w:rFonts w:ascii="Arial" w:hAnsi="Arial" w:cs="Arial"/>
          <w:b/>
          <w:sz w:val="22"/>
          <w:szCs w:val="22"/>
        </w:rPr>
      </w:pPr>
      <w:r>
        <w:rPr>
          <w:rFonts w:ascii="Arial" w:hAnsi="Arial" w:cs="Arial"/>
          <w:b/>
          <w:sz w:val="22"/>
          <w:szCs w:val="22"/>
        </w:rPr>
        <w:t>Tato připomínka je zásadní.</w:t>
      </w:r>
    </w:p>
    <w:p w:rsidR="00A265EA" w:rsidRDefault="00A265EA" w:rsidP="004E2AC4">
      <w:pPr>
        <w:jc w:val="both"/>
        <w:rPr>
          <w:rFonts w:ascii="Arial" w:hAnsi="Arial" w:cs="Arial"/>
          <w:b/>
          <w:sz w:val="22"/>
          <w:szCs w:val="22"/>
        </w:rPr>
      </w:pPr>
    </w:p>
    <w:p w:rsidR="00A265EA" w:rsidRDefault="00A265EA" w:rsidP="00A265EA">
      <w:pPr>
        <w:pStyle w:val="Odstavecseseznamem"/>
        <w:numPr>
          <w:ilvl w:val="0"/>
          <w:numId w:val="1"/>
        </w:numPr>
        <w:jc w:val="both"/>
        <w:rPr>
          <w:rFonts w:ascii="Arial" w:hAnsi="Arial" w:cs="Arial"/>
          <w:sz w:val="22"/>
          <w:szCs w:val="22"/>
        </w:rPr>
      </w:pPr>
      <w:r w:rsidRPr="00A265EA">
        <w:rPr>
          <w:rFonts w:ascii="Arial" w:hAnsi="Arial" w:cs="Arial"/>
          <w:b/>
          <w:sz w:val="22"/>
          <w:szCs w:val="22"/>
        </w:rPr>
        <w:t>V § 50 odst. 3</w:t>
      </w:r>
      <w:r>
        <w:rPr>
          <w:rFonts w:ascii="Arial" w:hAnsi="Arial" w:cs="Arial"/>
          <w:sz w:val="22"/>
          <w:szCs w:val="22"/>
        </w:rPr>
        <w:t xml:space="preserve"> se druhá až čtvrtá věta zrušují.</w:t>
      </w:r>
    </w:p>
    <w:p w:rsidR="00A265EA" w:rsidRDefault="00A265EA" w:rsidP="00A265EA">
      <w:pPr>
        <w:jc w:val="both"/>
        <w:rPr>
          <w:rFonts w:ascii="Arial" w:hAnsi="Arial" w:cs="Arial"/>
          <w:sz w:val="22"/>
          <w:szCs w:val="22"/>
        </w:rPr>
      </w:pPr>
      <w:r>
        <w:rPr>
          <w:rFonts w:ascii="Arial" w:hAnsi="Arial" w:cs="Arial"/>
          <w:sz w:val="22"/>
          <w:szCs w:val="22"/>
          <w:u w:val="single"/>
        </w:rPr>
        <w:t>Odůvodnění:</w:t>
      </w:r>
      <w:r>
        <w:rPr>
          <w:rFonts w:ascii="Arial" w:hAnsi="Arial" w:cs="Arial"/>
          <w:sz w:val="22"/>
          <w:szCs w:val="22"/>
        </w:rPr>
        <w:t xml:space="preserve"> Část ustanovení, kterou navrhujeme zrušit, snižuje </w:t>
      </w:r>
      <w:r w:rsidR="00476F20">
        <w:rPr>
          <w:rFonts w:ascii="Arial" w:hAnsi="Arial" w:cs="Arial"/>
          <w:sz w:val="22"/>
          <w:szCs w:val="22"/>
        </w:rPr>
        <w:t xml:space="preserve">výši </w:t>
      </w:r>
      <w:r>
        <w:rPr>
          <w:rFonts w:ascii="Arial" w:hAnsi="Arial" w:cs="Arial"/>
          <w:sz w:val="22"/>
          <w:szCs w:val="22"/>
        </w:rPr>
        <w:t>nárok</w:t>
      </w:r>
      <w:r w:rsidR="00476F20">
        <w:rPr>
          <w:rFonts w:ascii="Arial" w:hAnsi="Arial" w:cs="Arial"/>
          <w:sz w:val="22"/>
          <w:szCs w:val="22"/>
        </w:rPr>
        <w:t>u</w:t>
      </w:r>
      <w:r>
        <w:rPr>
          <w:rFonts w:ascii="Arial" w:hAnsi="Arial" w:cs="Arial"/>
          <w:sz w:val="22"/>
          <w:szCs w:val="22"/>
        </w:rPr>
        <w:t xml:space="preserve"> na podporu v nezaměstnanosti </w:t>
      </w:r>
      <w:r w:rsidR="00476F20">
        <w:rPr>
          <w:rFonts w:ascii="Arial" w:hAnsi="Arial" w:cs="Arial"/>
          <w:sz w:val="22"/>
          <w:szCs w:val="22"/>
        </w:rPr>
        <w:t xml:space="preserve">u </w:t>
      </w:r>
      <w:r>
        <w:rPr>
          <w:rFonts w:ascii="Arial" w:hAnsi="Arial" w:cs="Arial"/>
          <w:sz w:val="22"/>
          <w:szCs w:val="22"/>
        </w:rPr>
        <w:t>uchazečů, kteří skončili poslední zaměstnání sami nebo dohodou se zaměstnavatelem, aniž k tomu měli vážný důvod ve smyslu § 5 písm. c). V praxi vede toto ustanovení k složitému posuzování, zda měl uchazeč relevantní důvody ke skončení pracovněprávního vztahu. V soukromoprávních pracovních vztazích odrazuje tato právní úprava zaměstnance od ochoty rozvázat pracovní poměr dohodou. Navíc se tím zakládá nerovné postavení ve srovnání s uchazeči, kteří skončili podnikání</w:t>
      </w:r>
      <w:r w:rsidR="00F10657">
        <w:rPr>
          <w:rFonts w:ascii="Arial" w:hAnsi="Arial" w:cs="Arial"/>
          <w:sz w:val="22"/>
          <w:szCs w:val="22"/>
        </w:rPr>
        <w:t>, kdy se žádné důvody ke skončení samostatné výdělečné činnosti nezkoumají.</w:t>
      </w:r>
    </w:p>
    <w:p w:rsidR="00F10657" w:rsidRDefault="00F10657" w:rsidP="00F10657">
      <w:pPr>
        <w:jc w:val="both"/>
        <w:rPr>
          <w:rFonts w:ascii="Arial" w:hAnsi="Arial" w:cs="Arial"/>
          <w:b/>
          <w:sz w:val="22"/>
          <w:szCs w:val="22"/>
        </w:rPr>
      </w:pPr>
      <w:r>
        <w:rPr>
          <w:rFonts w:ascii="Arial" w:hAnsi="Arial" w:cs="Arial"/>
          <w:b/>
          <w:sz w:val="22"/>
          <w:szCs w:val="22"/>
        </w:rPr>
        <w:t>Tato připomínka je zásadní.</w:t>
      </w:r>
    </w:p>
    <w:p w:rsidR="00F10657" w:rsidRDefault="00F10657" w:rsidP="00A265EA">
      <w:pPr>
        <w:jc w:val="both"/>
        <w:rPr>
          <w:rFonts w:ascii="Arial" w:hAnsi="Arial" w:cs="Arial"/>
          <w:sz w:val="22"/>
          <w:szCs w:val="22"/>
        </w:rPr>
      </w:pPr>
    </w:p>
    <w:p w:rsidR="00F10657" w:rsidRDefault="00F10657" w:rsidP="00F10657">
      <w:pPr>
        <w:pStyle w:val="Odstavecseseznamem"/>
        <w:numPr>
          <w:ilvl w:val="0"/>
          <w:numId w:val="1"/>
        </w:numPr>
        <w:jc w:val="both"/>
        <w:rPr>
          <w:rFonts w:ascii="Arial" w:hAnsi="Arial" w:cs="Arial"/>
          <w:sz w:val="22"/>
          <w:szCs w:val="22"/>
        </w:rPr>
      </w:pPr>
      <w:r w:rsidRPr="00F10657">
        <w:rPr>
          <w:rFonts w:ascii="Arial" w:hAnsi="Arial" w:cs="Arial"/>
          <w:b/>
          <w:sz w:val="22"/>
          <w:szCs w:val="22"/>
        </w:rPr>
        <w:t>V článku II.</w:t>
      </w:r>
      <w:r>
        <w:rPr>
          <w:rFonts w:ascii="Arial" w:hAnsi="Arial" w:cs="Arial"/>
          <w:sz w:val="22"/>
          <w:szCs w:val="22"/>
        </w:rPr>
        <w:t xml:space="preserve"> se vkládá bod 2, který zní: </w:t>
      </w:r>
    </w:p>
    <w:p w:rsidR="00476F20" w:rsidRDefault="00F10657" w:rsidP="00F10657">
      <w:pPr>
        <w:pStyle w:val="Odstavecseseznamem"/>
        <w:ind w:left="360"/>
        <w:jc w:val="both"/>
        <w:rPr>
          <w:rFonts w:ascii="Arial" w:hAnsi="Arial" w:cs="Arial"/>
          <w:b/>
          <w:sz w:val="22"/>
          <w:szCs w:val="22"/>
        </w:rPr>
      </w:pPr>
      <w:r>
        <w:rPr>
          <w:rFonts w:ascii="Arial" w:hAnsi="Arial" w:cs="Arial"/>
          <w:b/>
          <w:sz w:val="22"/>
          <w:szCs w:val="22"/>
        </w:rPr>
        <w:t>„2. Počátek doby poskytování podpory v nezaměstnanosti, její výše, poskytnutí kompenzace a její vymáhání v případech, kdy zaměstnání ukončil uchazeč o zaměstnání přede dnem nabytí účinnosti tohoto zákona, se řídí zákonem</w:t>
      </w:r>
      <w:r w:rsidRPr="00F10657">
        <w:rPr>
          <w:rFonts w:ascii="Arial" w:hAnsi="Arial" w:cs="Arial"/>
          <w:b/>
          <w:sz w:val="22"/>
          <w:szCs w:val="22"/>
        </w:rPr>
        <w:t xml:space="preserve"> </w:t>
      </w:r>
      <w:r>
        <w:rPr>
          <w:rFonts w:ascii="Arial" w:hAnsi="Arial" w:cs="Arial"/>
          <w:b/>
          <w:sz w:val="22"/>
          <w:szCs w:val="22"/>
        </w:rPr>
        <w:t>č. 435/2004 Sb., ve znění účinném do dne nabytí účinnosti tohoto zákona.</w:t>
      </w:r>
      <w:r w:rsidR="00476F20">
        <w:rPr>
          <w:rFonts w:ascii="Arial" w:hAnsi="Arial" w:cs="Arial"/>
          <w:b/>
          <w:sz w:val="22"/>
          <w:szCs w:val="22"/>
        </w:rPr>
        <w:t>“</w:t>
      </w:r>
    </w:p>
    <w:p w:rsidR="00F10657" w:rsidRDefault="00476F20" w:rsidP="00F10657">
      <w:pPr>
        <w:pStyle w:val="Odstavecseseznamem"/>
        <w:ind w:left="360"/>
        <w:jc w:val="both"/>
        <w:rPr>
          <w:rFonts w:ascii="Arial" w:hAnsi="Arial" w:cs="Arial"/>
          <w:b/>
          <w:sz w:val="22"/>
          <w:szCs w:val="22"/>
        </w:rPr>
      </w:pPr>
      <w:r>
        <w:rPr>
          <w:rFonts w:ascii="Arial" w:hAnsi="Arial" w:cs="Arial"/>
          <w:sz w:val="22"/>
          <w:szCs w:val="22"/>
        </w:rPr>
        <w:t>Bod 2 přechodných ustanovení se označí jako bod 3.</w:t>
      </w:r>
      <w:r w:rsidR="00F10657">
        <w:rPr>
          <w:rFonts w:ascii="Arial" w:hAnsi="Arial" w:cs="Arial"/>
          <w:b/>
          <w:sz w:val="22"/>
          <w:szCs w:val="22"/>
        </w:rPr>
        <w:t xml:space="preserve"> </w:t>
      </w:r>
    </w:p>
    <w:p w:rsidR="00F10657" w:rsidRDefault="00F10657" w:rsidP="00F10657">
      <w:pPr>
        <w:jc w:val="both"/>
        <w:rPr>
          <w:rFonts w:ascii="Arial" w:hAnsi="Arial" w:cs="Arial"/>
          <w:sz w:val="22"/>
          <w:szCs w:val="22"/>
        </w:rPr>
      </w:pPr>
      <w:r>
        <w:rPr>
          <w:rFonts w:ascii="Arial" w:hAnsi="Arial" w:cs="Arial"/>
          <w:sz w:val="22"/>
          <w:szCs w:val="22"/>
          <w:u w:val="single"/>
        </w:rPr>
        <w:t>Odůvodnění:</w:t>
      </w:r>
      <w:r>
        <w:rPr>
          <w:rFonts w:ascii="Arial" w:hAnsi="Arial" w:cs="Arial"/>
          <w:sz w:val="22"/>
          <w:szCs w:val="22"/>
        </w:rPr>
        <w:t xml:space="preserve"> Návrh souvisí s návrhem na zrušení § 44a a § 44b a změnu § 50 odst. 3.</w:t>
      </w:r>
    </w:p>
    <w:p w:rsidR="00F10657" w:rsidRDefault="00F10657" w:rsidP="00F10657">
      <w:pPr>
        <w:jc w:val="both"/>
        <w:rPr>
          <w:rFonts w:ascii="Arial" w:hAnsi="Arial" w:cs="Arial"/>
          <w:sz w:val="22"/>
          <w:szCs w:val="22"/>
        </w:rPr>
      </w:pPr>
      <w:r>
        <w:rPr>
          <w:rFonts w:ascii="Arial" w:hAnsi="Arial" w:cs="Arial"/>
          <w:b/>
          <w:sz w:val="22"/>
          <w:szCs w:val="22"/>
        </w:rPr>
        <w:t>Tato připomínka je zásadní.</w:t>
      </w:r>
    </w:p>
    <w:p w:rsidR="00F10657" w:rsidRDefault="00F10657" w:rsidP="00F10657">
      <w:pPr>
        <w:jc w:val="both"/>
        <w:rPr>
          <w:rFonts w:ascii="Arial" w:hAnsi="Arial" w:cs="Arial"/>
          <w:sz w:val="22"/>
          <w:szCs w:val="22"/>
        </w:rPr>
      </w:pPr>
    </w:p>
    <w:p w:rsidR="00F10657" w:rsidRDefault="00F10657" w:rsidP="00F10657">
      <w:pPr>
        <w:jc w:val="both"/>
        <w:rPr>
          <w:rFonts w:ascii="Arial" w:hAnsi="Arial" w:cs="Arial"/>
          <w:sz w:val="22"/>
          <w:szCs w:val="22"/>
        </w:rPr>
      </w:pPr>
    </w:p>
    <w:p w:rsidR="00F10657" w:rsidRDefault="00F10657" w:rsidP="00F10657">
      <w:pPr>
        <w:jc w:val="both"/>
        <w:rPr>
          <w:rFonts w:ascii="Arial" w:hAnsi="Arial" w:cs="Arial"/>
          <w:sz w:val="22"/>
          <w:szCs w:val="22"/>
        </w:rPr>
      </w:pPr>
      <w:r>
        <w:rPr>
          <w:rFonts w:ascii="Arial" w:hAnsi="Arial" w:cs="Arial"/>
          <w:sz w:val="22"/>
          <w:szCs w:val="22"/>
        </w:rPr>
        <w:tab/>
        <w:t>Věříme, že k těmto připomínkám přihlédnete.</w:t>
      </w:r>
    </w:p>
    <w:p w:rsidR="00F10657" w:rsidRDefault="00F10657" w:rsidP="00F10657">
      <w:pPr>
        <w:jc w:val="both"/>
        <w:rPr>
          <w:rFonts w:ascii="Arial" w:hAnsi="Arial" w:cs="Arial"/>
          <w:sz w:val="22"/>
          <w:szCs w:val="22"/>
        </w:rPr>
      </w:pPr>
    </w:p>
    <w:p w:rsidR="00F10657" w:rsidRDefault="00F10657" w:rsidP="00F10657">
      <w:pPr>
        <w:jc w:val="both"/>
        <w:rPr>
          <w:rFonts w:ascii="Arial" w:hAnsi="Arial" w:cs="Arial"/>
          <w:sz w:val="22"/>
          <w:szCs w:val="22"/>
        </w:rPr>
      </w:pPr>
      <w:r>
        <w:rPr>
          <w:rFonts w:ascii="Arial" w:hAnsi="Arial" w:cs="Arial"/>
          <w:sz w:val="22"/>
          <w:szCs w:val="22"/>
        </w:rPr>
        <w:tab/>
        <w:t>S pozdravem</w:t>
      </w:r>
    </w:p>
    <w:p w:rsidR="00F10657" w:rsidRDefault="00F10657" w:rsidP="00F10657">
      <w:pPr>
        <w:jc w:val="both"/>
        <w:rPr>
          <w:rFonts w:ascii="Arial" w:hAnsi="Arial" w:cs="Arial"/>
          <w:sz w:val="22"/>
          <w:szCs w:val="22"/>
        </w:rPr>
      </w:pPr>
    </w:p>
    <w:p w:rsidR="00F10657" w:rsidRDefault="00F10657" w:rsidP="00F10657">
      <w:pPr>
        <w:jc w:val="both"/>
        <w:rPr>
          <w:rFonts w:ascii="Arial" w:hAnsi="Arial" w:cs="Arial"/>
          <w:sz w:val="22"/>
          <w:szCs w:val="22"/>
        </w:rPr>
      </w:pPr>
    </w:p>
    <w:p w:rsidR="00F10657" w:rsidRDefault="00F10657" w:rsidP="00F10657">
      <w:pPr>
        <w:jc w:val="both"/>
        <w:rPr>
          <w:rFonts w:ascii="Arial" w:hAnsi="Arial" w:cs="Arial"/>
          <w:sz w:val="22"/>
          <w:szCs w:val="22"/>
        </w:rPr>
      </w:pPr>
    </w:p>
    <w:p w:rsidR="00F10657" w:rsidRDefault="00F10657" w:rsidP="00F10657">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JUDr. Bořivoj ŠUBRT</w:t>
      </w:r>
    </w:p>
    <w:p w:rsidR="00F10657" w:rsidRDefault="00F10657" w:rsidP="00F10657">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předseda</w:t>
      </w:r>
    </w:p>
    <w:p w:rsidR="00F10657" w:rsidRDefault="00F10657" w:rsidP="00F10657">
      <w:pPr>
        <w:jc w:val="both"/>
        <w:rPr>
          <w:rFonts w:ascii="Arial" w:hAnsi="Arial" w:cs="Arial"/>
          <w:sz w:val="22"/>
          <w:szCs w:val="22"/>
        </w:rPr>
      </w:pPr>
    </w:p>
    <w:p w:rsidR="00F10657" w:rsidRDefault="00F10657" w:rsidP="00F10657">
      <w:pPr>
        <w:jc w:val="both"/>
        <w:rPr>
          <w:rFonts w:ascii="Arial" w:hAnsi="Arial" w:cs="Arial"/>
          <w:sz w:val="22"/>
          <w:szCs w:val="22"/>
        </w:rPr>
      </w:pPr>
    </w:p>
    <w:p w:rsidR="00F10657" w:rsidRDefault="00F10657" w:rsidP="00F10657">
      <w:pPr>
        <w:jc w:val="both"/>
        <w:rPr>
          <w:rFonts w:ascii="Arial" w:hAnsi="Arial" w:cs="Arial"/>
          <w:sz w:val="22"/>
          <w:szCs w:val="22"/>
        </w:rPr>
      </w:pPr>
    </w:p>
    <w:p w:rsidR="00F10657" w:rsidRPr="00F10657" w:rsidRDefault="00F10657" w:rsidP="00F10657">
      <w:pPr>
        <w:jc w:val="both"/>
        <w:rPr>
          <w:rFonts w:ascii="Arial" w:hAnsi="Arial" w:cs="Arial"/>
          <w:sz w:val="22"/>
          <w:szCs w:val="22"/>
        </w:rPr>
      </w:pPr>
      <w:r>
        <w:rPr>
          <w:rFonts w:ascii="Arial" w:hAnsi="Arial" w:cs="Arial"/>
          <w:sz w:val="22"/>
          <w:szCs w:val="22"/>
        </w:rPr>
        <w:t>V Praze dne 2</w:t>
      </w:r>
      <w:r w:rsidR="00476F20">
        <w:rPr>
          <w:rFonts w:ascii="Arial" w:hAnsi="Arial" w:cs="Arial"/>
          <w:sz w:val="22"/>
          <w:szCs w:val="22"/>
        </w:rPr>
        <w:t>7</w:t>
      </w:r>
      <w:bookmarkStart w:id="0" w:name="_GoBack"/>
      <w:bookmarkEnd w:id="0"/>
      <w:r>
        <w:rPr>
          <w:rFonts w:ascii="Arial" w:hAnsi="Arial" w:cs="Arial"/>
          <w:sz w:val="22"/>
          <w:szCs w:val="22"/>
        </w:rPr>
        <w:t>. června 2014</w:t>
      </w:r>
    </w:p>
    <w:sectPr w:rsidR="00F10657" w:rsidRPr="00F10657" w:rsidSect="0017078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2A4" w:rsidRDefault="004A52A4" w:rsidP="004E2AC4">
      <w:r>
        <w:separator/>
      </w:r>
    </w:p>
  </w:endnote>
  <w:endnote w:type="continuationSeparator" w:id="0">
    <w:p w:rsidR="004A52A4" w:rsidRDefault="004A52A4" w:rsidP="004E2AC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958795"/>
      <w:docPartObj>
        <w:docPartGallery w:val="Page Numbers (Bottom of Page)"/>
        <w:docPartUnique/>
      </w:docPartObj>
    </w:sdtPr>
    <w:sdtContent>
      <w:p w:rsidR="004E2AC4" w:rsidRDefault="00170784">
        <w:pPr>
          <w:pStyle w:val="Zpat"/>
          <w:jc w:val="center"/>
        </w:pPr>
        <w:r>
          <w:fldChar w:fldCharType="begin"/>
        </w:r>
        <w:r w:rsidR="004E2AC4">
          <w:instrText>PAGE   \* MERGEFORMAT</w:instrText>
        </w:r>
        <w:r>
          <w:fldChar w:fldCharType="separate"/>
        </w:r>
        <w:r w:rsidR="00922BAE">
          <w:rPr>
            <w:noProof/>
          </w:rPr>
          <w:t>1</w:t>
        </w:r>
        <w:r>
          <w:fldChar w:fldCharType="end"/>
        </w:r>
      </w:p>
    </w:sdtContent>
  </w:sdt>
  <w:p w:rsidR="004E2AC4" w:rsidRDefault="004E2AC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2A4" w:rsidRDefault="004A52A4" w:rsidP="004E2AC4">
      <w:r>
        <w:separator/>
      </w:r>
    </w:p>
  </w:footnote>
  <w:footnote w:type="continuationSeparator" w:id="0">
    <w:p w:rsidR="004A52A4" w:rsidRDefault="004A52A4" w:rsidP="004E2A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0762B"/>
    <w:multiLevelType w:val="hybridMultilevel"/>
    <w:tmpl w:val="D4F09276"/>
    <w:lvl w:ilvl="0" w:tplc="D684193E">
      <w:start w:val="3"/>
      <w:numFmt w:val="bullet"/>
      <w:lvlText w:val="-"/>
      <w:lvlJc w:val="left"/>
      <w:pPr>
        <w:ind w:left="360" w:hanging="360"/>
      </w:pPr>
      <w:rPr>
        <w:rFonts w:ascii="Arial" w:eastAsiaTheme="minorEastAsia"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127AA"/>
    <w:rsid w:val="00170784"/>
    <w:rsid w:val="00184410"/>
    <w:rsid w:val="0019008E"/>
    <w:rsid w:val="003A249F"/>
    <w:rsid w:val="00476F20"/>
    <w:rsid w:val="004A52A4"/>
    <w:rsid w:val="004E2AC4"/>
    <w:rsid w:val="006B75FE"/>
    <w:rsid w:val="007127AA"/>
    <w:rsid w:val="00922BAE"/>
    <w:rsid w:val="00A265EA"/>
    <w:rsid w:val="00F012E4"/>
    <w:rsid w:val="00F1065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27AA"/>
    <w:pPr>
      <w:spacing w:after="0" w:line="240" w:lineRule="auto"/>
    </w:pPr>
    <w:rPr>
      <w:rFonts w:ascii="Times New Roman" w:eastAsiaTheme="minorEastAsia" w:hAnsi="Times New Roman"/>
      <w:sz w:val="24"/>
      <w:szCs w:val="24"/>
      <w:lang w:eastAsia="cs-CZ"/>
    </w:rPr>
  </w:style>
  <w:style w:type="paragraph" w:styleId="Nadpis1">
    <w:name w:val="heading 1"/>
    <w:basedOn w:val="Normln"/>
    <w:next w:val="Normln"/>
    <w:link w:val="Nadpis1Char"/>
    <w:uiPriority w:val="99"/>
    <w:qFormat/>
    <w:rsid w:val="007127AA"/>
    <w:pPr>
      <w:keepNext/>
      <w:jc w:val="center"/>
      <w:outlineLvl w:val="0"/>
    </w:pPr>
    <w:rPr>
      <w:rFonts w:ascii="Arial" w:eastAsia="Times New Roman"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127AA"/>
    <w:rPr>
      <w:rFonts w:ascii="Arial" w:eastAsia="Times New Roman" w:hAnsi="Arial" w:cs="Arial"/>
      <w:b/>
      <w:bCs/>
      <w:sz w:val="24"/>
      <w:szCs w:val="24"/>
      <w:lang w:eastAsia="cs-CZ"/>
    </w:rPr>
  </w:style>
  <w:style w:type="paragraph" w:styleId="Textbubliny">
    <w:name w:val="Balloon Text"/>
    <w:basedOn w:val="Normln"/>
    <w:link w:val="TextbublinyChar"/>
    <w:uiPriority w:val="99"/>
    <w:semiHidden/>
    <w:unhideWhenUsed/>
    <w:rsid w:val="007127AA"/>
    <w:rPr>
      <w:rFonts w:ascii="Tahoma" w:hAnsi="Tahoma" w:cs="Tahoma"/>
      <w:sz w:val="16"/>
      <w:szCs w:val="16"/>
    </w:rPr>
  </w:style>
  <w:style w:type="character" w:customStyle="1" w:styleId="TextbublinyChar">
    <w:name w:val="Text bubliny Char"/>
    <w:basedOn w:val="Standardnpsmoodstavce"/>
    <w:link w:val="Textbubliny"/>
    <w:uiPriority w:val="99"/>
    <w:semiHidden/>
    <w:rsid w:val="007127AA"/>
    <w:rPr>
      <w:rFonts w:ascii="Tahoma" w:eastAsiaTheme="minorEastAsia" w:hAnsi="Tahoma" w:cs="Tahoma"/>
      <w:sz w:val="16"/>
      <w:szCs w:val="16"/>
      <w:lang w:eastAsia="cs-CZ"/>
    </w:rPr>
  </w:style>
  <w:style w:type="paragraph" w:styleId="Odstavecseseznamem">
    <w:name w:val="List Paragraph"/>
    <w:basedOn w:val="Normln"/>
    <w:uiPriority w:val="34"/>
    <w:qFormat/>
    <w:rsid w:val="0019008E"/>
    <w:pPr>
      <w:ind w:left="720"/>
      <w:contextualSpacing/>
    </w:pPr>
  </w:style>
  <w:style w:type="paragraph" w:styleId="Zhlav">
    <w:name w:val="header"/>
    <w:basedOn w:val="Normln"/>
    <w:link w:val="ZhlavChar"/>
    <w:uiPriority w:val="99"/>
    <w:unhideWhenUsed/>
    <w:rsid w:val="004E2AC4"/>
    <w:pPr>
      <w:tabs>
        <w:tab w:val="center" w:pos="4536"/>
        <w:tab w:val="right" w:pos="9072"/>
      </w:tabs>
    </w:pPr>
  </w:style>
  <w:style w:type="character" w:customStyle="1" w:styleId="ZhlavChar">
    <w:name w:val="Záhlaví Char"/>
    <w:basedOn w:val="Standardnpsmoodstavce"/>
    <w:link w:val="Zhlav"/>
    <w:uiPriority w:val="99"/>
    <w:rsid w:val="004E2AC4"/>
    <w:rPr>
      <w:rFonts w:ascii="Times New Roman" w:eastAsiaTheme="minorEastAsia" w:hAnsi="Times New Roman"/>
      <w:sz w:val="24"/>
      <w:szCs w:val="24"/>
      <w:lang w:eastAsia="cs-CZ"/>
    </w:rPr>
  </w:style>
  <w:style w:type="paragraph" w:styleId="Zpat">
    <w:name w:val="footer"/>
    <w:basedOn w:val="Normln"/>
    <w:link w:val="ZpatChar"/>
    <w:uiPriority w:val="99"/>
    <w:unhideWhenUsed/>
    <w:rsid w:val="004E2AC4"/>
    <w:pPr>
      <w:tabs>
        <w:tab w:val="center" w:pos="4536"/>
        <w:tab w:val="right" w:pos="9072"/>
      </w:tabs>
    </w:pPr>
  </w:style>
  <w:style w:type="character" w:customStyle="1" w:styleId="ZpatChar">
    <w:name w:val="Zápatí Char"/>
    <w:basedOn w:val="Standardnpsmoodstavce"/>
    <w:link w:val="Zpat"/>
    <w:uiPriority w:val="99"/>
    <w:rsid w:val="004E2AC4"/>
    <w:rPr>
      <w:rFonts w:ascii="Times New Roman" w:eastAsiaTheme="minorEastAsia"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27AA"/>
    <w:pPr>
      <w:spacing w:after="0" w:line="240" w:lineRule="auto"/>
    </w:pPr>
    <w:rPr>
      <w:rFonts w:ascii="Times New Roman" w:eastAsiaTheme="minorEastAsia" w:hAnsi="Times New Roman"/>
      <w:sz w:val="24"/>
      <w:szCs w:val="24"/>
      <w:lang w:eastAsia="cs-CZ"/>
    </w:rPr>
  </w:style>
  <w:style w:type="paragraph" w:styleId="Nadpis1">
    <w:name w:val="heading 1"/>
    <w:basedOn w:val="Normln"/>
    <w:next w:val="Normln"/>
    <w:link w:val="Nadpis1Char"/>
    <w:uiPriority w:val="99"/>
    <w:qFormat/>
    <w:rsid w:val="007127AA"/>
    <w:pPr>
      <w:keepNext/>
      <w:jc w:val="center"/>
      <w:outlineLvl w:val="0"/>
    </w:pPr>
    <w:rPr>
      <w:rFonts w:ascii="Arial" w:eastAsia="Times New Roman"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127AA"/>
    <w:rPr>
      <w:rFonts w:ascii="Arial" w:eastAsia="Times New Roman" w:hAnsi="Arial" w:cs="Arial"/>
      <w:b/>
      <w:bCs/>
      <w:sz w:val="24"/>
      <w:szCs w:val="24"/>
      <w:lang w:eastAsia="cs-CZ"/>
    </w:rPr>
  </w:style>
  <w:style w:type="paragraph" w:styleId="Textbubliny">
    <w:name w:val="Balloon Text"/>
    <w:basedOn w:val="Normln"/>
    <w:link w:val="TextbublinyChar"/>
    <w:uiPriority w:val="99"/>
    <w:semiHidden/>
    <w:unhideWhenUsed/>
    <w:rsid w:val="007127AA"/>
    <w:rPr>
      <w:rFonts w:ascii="Tahoma" w:hAnsi="Tahoma" w:cs="Tahoma"/>
      <w:sz w:val="16"/>
      <w:szCs w:val="16"/>
    </w:rPr>
  </w:style>
  <w:style w:type="character" w:customStyle="1" w:styleId="TextbublinyChar">
    <w:name w:val="Text bubliny Char"/>
    <w:basedOn w:val="Standardnpsmoodstavce"/>
    <w:link w:val="Textbubliny"/>
    <w:uiPriority w:val="99"/>
    <w:semiHidden/>
    <w:rsid w:val="007127AA"/>
    <w:rPr>
      <w:rFonts w:ascii="Tahoma" w:eastAsiaTheme="minorEastAsia" w:hAnsi="Tahoma" w:cs="Tahoma"/>
      <w:sz w:val="16"/>
      <w:szCs w:val="16"/>
      <w:lang w:eastAsia="cs-CZ"/>
    </w:rPr>
  </w:style>
  <w:style w:type="paragraph" w:styleId="Odstavecseseznamem">
    <w:name w:val="List Paragraph"/>
    <w:basedOn w:val="Normln"/>
    <w:uiPriority w:val="34"/>
    <w:qFormat/>
    <w:rsid w:val="0019008E"/>
    <w:pPr>
      <w:ind w:left="720"/>
      <w:contextualSpacing/>
    </w:pPr>
  </w:style>
  <w:style w:type="paragraph" w:styleId="Zhlav">
    <w:name w:val="header"/>
    <w:basedOn w:val="Normln"/>
    <w:link w:val="ZhlavChar"/>
    <w:uiPriority w:val="99"/>
    <w:unhideWhenUsed/>
    <w:rsid w:val="004E2AC4"/>
    <w:pPr>
      <w:tabs>
        <w:tab w:val="center" w:pos="4536"/>
        <w:tab w:val="right" w:pos="9072"/>
      </w:tabs>
    </w:pPr>
  </w:style>
  <w:style w:type="character" w:customStyle="1" w:styleId="ZhlavChar">
    <w:name w:val="Záhlaví Char"/>
    <w:basedOn w:val="Standardnpsmoodstavce"/>
    <w:link w:val="Zhlav"/>
    <w:uiPriority w:val="99"/>
    <w:rsid w:val="004E2AC4"/>
    <w:rPr>
      <w:rFonts w:ascii="Times New Roman" w:eastAsiaTheme="minorEastAsia" w:hAnsi="Times New Roman"/>
      <w:sz w:val="24"/>
      <w:szCs w:val="24"/>
      <w:lang w:eastAsia="cs-CZ"/>
    </w:rPr>
  </w:style>
  <w:style w:type="paragraph" w:styleId="Zpat">
    <w:name w:val="footer"/>
    <w:basedOn w:val="Normln"/>
    <w:link w:val="ZpatChar"/>
    <w:uiPriority w:val="99"/>
    <w:unhideWhenUsed/>
    <w:rsid w:val="004E2AC4"/>
    <w:pPr>
      <w:tabs>
        <w:tab w:val="center" w:pos="4536"/>
        <w:tab w:val="right" w:pos="9072"/>
      </w:tabs>
    </w:pPr>
  </w:style>
  <w:style w:type="character" w:customStyle="1" w:styleId="ZpatChar">
    <w:name w:val="Zápatí Char"/>
    <w:basedOn w:val="Standardnpsmoodstavce"/>
    <w:link w:val="Zpat"/>
    <w:uiPriority w:val="99"/>
    <w:rsid w:val="004E2AC4"/>
    <w:rPr>
      <w:rFonts w:ascii="Times New Roman" w:eastAsiaTheme="minorEastAsia"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3653</Characters>
  <Application>Microsoft Office Word</Application>
  <DocSecurity>4</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RWE Interní služby, s.r.o.</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vojikova</cp:lastModifiedBy>
  <cp:revision>2</cp:revision>
  <dcterms:created xsi:type="dcterms:W3CDTF">2014-06-28T05:04:00Z</dcterms:created>
  <dcterms:modified xsi:type="dcterms:W3CDTF">2014-06-28T05:04:00Z</dcterms:modified>
</cp:coreProperties>
</file>